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D615F" w14:textId="77777777" w:rsidR="000B1FDE" w:rsidRPr="00D04789" w:rsidRDefault="000B1FDE" w:rsidP="000B1FDE">
      <w:pPr>
        <w:jc w:val="center"/>
        <w:rPr>
          <w:rFonts w:ascii="Arial" w:hAnsi="Arial" w:cs="Arial"/>
          <w:b/>
          <w:sz w:val="24"/>
          <w:szCs w:val="24"/>
        </w:rPr>
      </w:pPr>
      <w:bookmarkStart w:id="0" w:name="_GoBack"/>
      <w:bookmarkEnd w:id="0"/>
      <w:r w:rsidRPr="00D04789">
        <w:rPr>
          <w:rFonts w:ascii="Arial" w:hAnsi="Arial" w:cs="Arial"/>
          <w:b/>
          <w:sz w:val="24"/>
          <w:szCs w:val="24"/>
        </w:rPr>
        <w:t>South Gloucestershire Council</w:t>
      </w:r>
      <w:r w:rsidRPr="00D04789">
        <w:rPr>
          <w:rFonts w:ascii="Arial" w:hAnsi="Arial" w:cs="Arial"/>
          <w:b/>
          <w:sz w:val="24"/>
          <w:szCs w:val="24"/>
        </w:rPr>
        <w:br/>
        <w:t>Pharmaceutical Needs Assessment Supplementary Statement</w:t>
      </w:r>
    </w:p>
    <w:p w14:paraId="115D6AF5" w14:textId="77777777" w:rsidR="00535915" w:rsidRPr="00D04789" w:rsidRDefault="00535915" w:rsidP="00535915">
      <w:pPr>
        <w:rPr>
          <w:rFonts w:ascii="Arial" w:hAnsi="Arial" w:cs="Arial"/>
          <w:b/>
          <w:sz w:val="24"/>
          <w:szCs w:val="24"/>
        </w:rPr>
      </w:pPr>
    </w:p>
    <w:p w14:paraId="45A24F73" w14:textId="77777777" w:rsidR="00AA3601" w:rsidRPr="00AA3601" w:rsidRDefault="00AA3601" w:rsidP="00AA3601">
      <w:pPr>
        <w:rPr>
          <w:rFonts w:ascii="Arial" w:hAnsi="Arial" w:cs="Arial"/>
          <w:sz w:val="24"/>
          <w:szCs w:val="24"/>
        </w:rPr>
      </w:pPr>
      <w:r w:rsidRPr="00AA3601">
        <w:rPr>
          <w:rFonts w:ascii="Arial" w:hAnsi="Arial" w:cs="Arial"/>
          <w:sz w:val="24"/>
          <w:szCs w:val="24"/>
        </w:rPr>
        <w:t xml:space="preserve">This supplementary statement has been prepared and issued by the Director of Public Health on behalf of the Health and Wellbeing Board of South Gloucestershire and forms part of the Pharmaceutical Needs Assessment. </w:t>
      </w:r>
    </w:p>
    <w:p w14:paraId="10D032D1" w14:textId="50C8B7A7" w:rsidR="00141321" w:rsidRPr="00D04789" w:rsidRDefault="00AA3601" w:rsidP="00302E6A">
      <w:pPr>
        <w:rPr>
          <w:rFonts w:ascii="Arial" w:hAnsi="Arial" w:cs="Arial"/>
          <w:sz w:val="24"/>
          <w:szCs w:val="24"/>
        </w:rPr>
      </w:pPr>
      <w:r w:rsidRPr="00AA3601">
        <w:rPr>
          <w:rFonts w:ascii="Arial" w:hAnsi="Arial" w:cs="Arial"/>
          <w:sz w:val="24"/>
          <w:szCs w:val="24"/>
        </w:rPr>
        <w:t>This  supplementary  statement  to  is issued  in  accordance  with  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04789" w:rsidRDefault="00521626" w:rsidP="000B1FDE">
            <w:pPr>
              <w:rPr>
                <w:rFonts w:ascii="Arial" w:hAnsi="Arial" w:cs="Arial"/>
                <w:sz w:val="24"/>
                <w:szCs w:val="24"/>
              </w:rPr>
            </w:pPr>
            <w:r w:rsidRPr="00D04789">
              <w:rPr>
                <w:rFonts w:ascii="Arial" w:hAnsi="Arial" w:cs="Arial"/>
                <w:sz w:val="24"/>
                <w:szCs w:val="24"/>
              </w:rPr>
              <w:t>Date Pharmaceutical Needs Assessment Published:</w:t>
            </w:r>
          </w:p>
        </w:tc>
        <w:tc>
          <w:tcPr>
            <w:tcW w:w="3067" w:type="dxa"/>
          </w:tcPr>
          <w:p w14:paraId="3C7AEE96" w14:textId="71D4E18C" w:rsidR="00521626" w:rsidRPr="00D04789" w:rsidRDefault="00A07254" w:rsidP="000B1FDE">
            <w:pPr>
              <w:rPr>
                <w:rFonts w:ascii="Arial" w:hAnsi="Arial" w:cs="Arial"/>
                <w:sz w:val="24"/>
                <w:szCs w:val="24"/>
              </w:rPr>
            </w:pPr>
            <w:r>
              <w:rPr>
                <w:rFonts w:ascii="Arial" w:hAnsi="Arial" w:cs="Arial"/>
                <w:sz w:val="24"/>
                <w:szCs w:val="24"/>
              </w:rPr>
              <w:t>April 2018</w:t>
            </w:r>
          </w:p>
        </w:tc>
      </w:tr>
      <w:tr w:rsidR="00521626" w:rsidRPr="00D04789" w14:paraId="76E3463A" w14:textId="77777777" w:rsidTr="00ED57DB">
        <w:tc>
          <w:tcPr>
            <w:tcW w:w="5949" w:type="dxa"/>
          </w:tcPr>
          <w:p w14:paraId="04B07B6B" w14:textId="77777777" w:rsidR="00521626" w:rsidRPr="00D04789" w:rsidRDefault="00521626" w:rsidP="00521626">
            <w:pPr>
              <w:rPr>
                <w:rFonts w:ascii="Arial" w:hAnsi="Arial" w:cs="Arial"/>
                <w:sz w:val="24"/>
                <w:szCs w:val="24"/>
              </w:rPr>
            </w:pPr>
            <w:r w:rsidRPr="00D04789">
              <w:rPr>
                <w:rFonts w:ascii="Arial" w:hAnsi="Arial" w:cs="Arial"/>
                <w:sz w:val="24"/>
                <w:szCs w:val="24"/>
              </w:rPr>
              <w:t xml:space="preserve">Date Supplementary Statement Published </w:t>
            </w:r>
          </w:p>
        </w:tc>
        <w:tc>
          <w:tcPr>
            <w:tcW w:w="3067" w:type="dxa"/>
          </w:tcPr>
          <w:p w14:paraId="017B6BCD" w14:textId="0BE88B9C" w:rsidR="00521626" w:rsidRPr="00D04789" w:rsidRDefault="003A6B77" w:rsidP="000B1FDE">
            <w:pPr>
              <w:rPr>
                <w:rFonts w:ascii="Arial" w:hAnsi="Arial" w:cs="Arial"/>
                <w:sz w:val="24"/>
                <w:szCs w:val="24"/>
              </w:rPr>
            </w:pPr>
            <w:r>
              <w:rPr>
                <w:rFonts w:ascii="Arial" w:hAnsi="Arial" w:cs="Arial"/>
                <w:sz w:val="24"/>
                <w:szCs w:val="24"/>
              </w:rPr>
              <w:t>April 2020</w:t>
            </w:r>
          </w:p>
        </w:tc>
      </w:tr>
      <w:tr w:rsidR="00521626" w:rsidRPr="00D04789" w14:paraId="176A5987" w14:textId="77777777" w:rsidTr="00ED57DB">
        <w:trPr>
          <w:trHeight w:val="77"/>
        </w:trPr>
        <w:tc>
          <w:tcPr>
            <w:tcW w:w="5949" w:type="dxa"/>
          </w:tcPr>
          <w:p w14:paraId="080A061A" w14:textId="77777777" w:rsidR="00521626" w:rsidRPr="00D04789" w:rsidRDefault="00521626" w:rsidP="000B1FDE">
            <w:pPr>
              <w:rPr>
                <w:rFonts w:ascii="Arial" w:hAnsi="Arial" w:cs="Arial"/>
                <w:sz w:val="24"/>
                <w:szCs w:val="24"/>
              </w:rPr>
            </w:pPr>
            <w:r w:rsidRPr="00D04789">
              <w:rPr>
                <w:rFonts w:ascii="Arial" w:hAnsi="Arial" w:cs="Arial"/>
                <w:sz w:val="24"/>
                <w:szCs w:val="24"/>
              </w:rPr>
              <w:t xml:space="preserve">Supplementary Statement Number: </w:t>
            </w:r>
          </w:p>
        </w:tc>
        <w:tc>
          <w:tcPr>
            <w:tcW w:w="3067" w:type="dxa"/>
          </w:tcPr>
          <w:p w14:paraId="0398C92C" w14:textId="3F879204" w:rsidR="00521626" w:rsidRPr="00D04789" w:rsidRDefault="002F48B0" w:rsidP="000B1FDE">
            <w:pPr>
              <w:rPr>
                <w:rFonts w:ascii="Arial" w:hAnsi="Arial" w:cs="Arial"/>
                <w:sz w:val="24"/>
                <w:szCs w:val="24"/>
              </w:rPr>
            </w:pPr>
            <w:r>
              <w:rPr>
                <w:rFonts w:ascii="Arial" w:hAnsi="Arial" w:cs="Arial"/>
                <w:sz w:val="24"/>
                <w:szCs w:val="24"/>
              </w:rPr>
              <w:t>5</w:t>
            </w:r>
          </w:p>
        </w:tc>
      </w:tr>
    </w:tbl>
    <w:p w14:paraId="65F960E3" w14:textId="77777777" w:rsidR="00521626" w:rsidRPr="00D04789" w:rsidRDefault="00521626" w:rsidP="000B1FDE">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04789" w:rsidRDefault="003A6B77" w:rsidP="00C036B2">
            <w:pPr>
              <w:rPr>
                <w:rFonts w:ascii="Arial" w:hAnsi="Arial" w:cs="Arial"/>
                <w:sz w:val="24"/>
                <w:szCs w:val="24"/>
              </w:rPr>
            </w:pPr>
            <w:r>
              <w:rPr>
                <w:rFonts w:ascii="Arial" w:hAnsi="Arial" w:cs="Arial"/>
                <w:sz w:val="24"/>
                <w:szCs w:val="24"/>
              </w:rPr>
              <w:t>Covid-19 update</w:t>
            </w:r>
          </w:p>
        </w:tc>
        <w:tc>
          <w:tcPr>
            <w:tcW w:w="3067" w:type="dxa"/>
          </w:tcPr>
          <w:p w14:paraId="49F7391F" w14:textId="0FC190F1" w:rsidR="003A6B77" w:rsidRPr="00D04789" w:rsidRDefault="003A6B77" w:rsidP="00514A22">
            <w:pPr>
              <w:jc w:val="center"/>
              <w:rPr>
                <w:rFonts w:ascii="Arial" w:hAnsi="Arial" w:cs="Arial"/>
                <w:sz w:val="24"/>
                <w:szCs w:val="24"/>
              </w:rPr>
            </w:pPr>
            <w:r>
              <w:rPr>
                <w:rFonts w:ascii="Arial" w:hAnsi="Arial" w:cs="Arial"/>
                <w:sz w:val="24"/>
                <w:szCs w:val="24"/>
              </w:rPr>
              <w:t>x</w:t>
            </w:r>
          </w:p>
        </w:tc>
      </w:tr>
      <w:tr w:rsidR="007B1F10" w:rsidRPr="00D04789" w14:paraId="470084BC" w14:textId="77777777" w:rsidTr="00C036B2">
        <w:tc>
          <w:tcPr>
            <w:tcW w:w="5949" w:type="dxa"/>
          </w:tcPr>
          <w:p w14:paraId="23C9D61E" w14:textId="77777777" w:rsidR="007B1F10" w:rsidRPr="00D04789" w:rsidRDefault="007B1F10" w:rsidP="00C036B2">
            <w:pPr>
              <w:rPr>
                <w:rFonts w:ascii="Arial" w:hAnsi="Arial" w:cs="Arial"/>
                <w:sz w:val="24"/>
                <w:szCs w:val="24"/>
              </w:rPr>
            </w:pPr>
            <w:r w:rsidRPr="00D04789">
              <w:rPr>
                <w:rFonts w:ascii="Arial" w:hAnsi="Arial" w:cs="Arial"/>
                <w:sz w:val="24"/>
                <w:szCs w:val="24"/>
              </w:rPr>
              <w:t xml:space="preserve">New Opening  </w:t>
            </w:r>
          </w:p>
        </w:tc>
        <w:tc>
          <w:tcPr>
            <w:tcW w:w="3067" w:type="dxa"/>
          </w:tcPr>
          <w:p w14:paraId="112802CF" w14:textId="68681E72" w:rsidR="007B1F10" w:rsidRPr="00D04789" w:rsidRDefault="007B1F10" w:rsidP="00514A22">
            <w:pPr>
              <w:jc w:val="center"/>
              <w:rPr>
                <w:rFonts w:ascii="Arial" w:hAnsi="Arial" w:cs="Arial"/>
                <w:sz w:val="24"/>
                <w:szCs w:val="24"/>
              </w:rPr>
            </w:pPr>
          </w:p>
        </w:tc>
      </w:tr>
      <w:tr w:rsidR="007B1F10" w:rsidRPr="00D04789" w14:paraId="4E3521FF" w14:textId="77777777" w:rsidTr="00C036B2">
        <w:tc>
          <w:tcPr>
            <w:tcW w:w="5949" w:type="dxa"/>
          </w:tcPr>
          <w:p w14:paraId="79F0E959" w14:textId="69CE0D73" w:rsidR="007B1F10" w:rsidRPr="00D04789" w:rsidRDefault="00FE39F2" w:rsidP="00C036B2">
            <w:pPr>
              <w:rPr>
                <w:rFonts w:ascii="Arial" w:hAnsi="Arial" w:cs="Arial"/>
                <w:sz w:val="24"/>
                <w:szCs w:val="24"/>
              </w:rPr>
            </w:pPr>
            <w:r>
              <w:rPr>
                <w:rFonts w:ascii="Arial" w:hAnsi="Arial" w:cs="Arial"/>
                <w:sz w:val="24"/>
                <w:szCs w:val="24"/>
              </w:rPr>
              <w:t>Pharmacy Closure(s)</w:t>
            </w:r>
          </w:p>
        </w:tc>
        <w:tc>
          <w:tcPr>
            <w:tcW w:w="3067" w:type="dxa"/>
          </w:tcPr>
          <w:p w14:paraId="2A34FF5B" w14:textId="546AF299" w:rsidR="007B1F10" w:rsidRPr="00D04789" w:rsidRDefault="007B1F10" w:rsidP="00C036B2">
            <w:pPr>
              <w:jc w:val="center"/>
              <w:rPr>
                <w:rFonts w:ascii="Arial" w:hAnsi="Arial" w:cs="Arial"/>
                <w:sz w:val="24"/>
                <w:szCs w:val="24"/>
              </w:rPr>
            </w:pPr>
          </w:p>
        </w:tc>
      </w:tr>
      <w:tr w:rsidR="002F48B0" w:rsidRPr="00D04789" w14:paraId="4D090FC0" w14:textId="77777777" w:rsidTr="00C036B2">
        <w:tc>
          <w:tcPr>
            <w:tcW w:w="5949" w:type="dxa"/>
          </w:tcPr>
          <w:p w14:paraId="198D75E7" w14:textId="6FAE0CD1" w:rsidR="002F48B0" w:rsidRDefault="002F48B0" w:rsidP="00C036B2">
            <w:pPr>
              <w:rPr>
                <w:rFonts w:ascii="Arial" w:hAnsi="Arial" w:cs="Arial"/>
                <w:sz w:val="24"/>
                <w:szCs w:val="24"/>
              </w:rPr>
            </w:pPr>
            <w:r>
              <w:rPr>
                <w:rFonts w:ascii="Arial" w:hAnsi="Arial" w:cs="Arial"/>
                <w:sz w:val="24"/>
                <w:szCs w:val="24"/>
              </w:rPr>
              <w:t>Temporary closure of pharmacy</w:t>
            </w:r>
          </w:p>
        </w:tc>
        <w:tc>
          <w:tcPr>
            <w:tcW w:w="3067" w:type="dxa"/>
          </w:tcPr>
          <w:p w14:paraId="62F0DADC" w14:textId="4CB76412" w:rsidR="002F48B0" w:rsidRPr="00D04789" w:rsidRDefault="002F48B0" w:rsidP="00C036B2">
            <w:pPr>
              <w:jc w:val="center"/>
              <w:rPr>
                <w:rFonts w:ascii="Arial" w:hAnsi="Arial" w:cs="Arial"/>
                <w:sz w:val="24"/>
                <w:szCs w:val="24"/>
              </w:rPr>
            </w:pPr>
          </w:p>
        </w:tc>
      </w:tr>
      <w:tr w:rsidR="007B1F10" w:rsidRPr="00D04789" w14:paraId="4D0D50C5" w14:textId="77777777" w:rsidTr="00C036B2">
        <w:tc>
          <w:tcPr>
            <w:tcW w:w="5949" w:type="dxa"/>
          </w:tcPr>
          <w:p w14:paraId="6766089A" w14:textId="77777777" w:rsidR="007B1F10" w:rsidRPr="00D04789" w:rsidRDefault="007B1F10" w:rsidP="00C036B2">
            <w:pPr>
              <w:rPr>
                <w:rFonts w:ascii="Arial" w:hAnsi="Arial" w:cs="Arial"/>
                <w:sz w:val="24"/>
                <w:szCs w:val="24"/>
              </w:rPr>
            </w:pPr>
            <w:r w:rsidRPr="00D04789">
              <w:rPr>
                <w:rFonts w:ascii="Arial" w:hAnsi="Arial" w:cs="Arial"/>
                <w:sz w:val="24"/>
                <w:szCs w:val="24"/>
              </w:rPr>
              <w:t xml:space="preserve">Pharmacy Relocation </w:t>
            </w:r>
          </w:p>
        </w:tc>
        <w:tc>
          <w:tcPr>
            <w:tcW w:w="3067" w:type="dxa"/>
          </w:tcPr>
          <w:p w14:paraId="5064FB66" w14:textId="77777777" w:rsidR="007B1F10" w:rsidRPr="00D04789" w:rsidRDefault="007B1F10" w:rsidP="007B1F10">
            <w:pPr>
              <w:jc w:val="center"/>
              <w:rPr>
                <w:rFonts w:ascii="Arial" w:hAnsi="Arial" w:cs="Arial"/>
                <w:sz w:val="24"/>
                <w:szCs w:val="24"/>
              </w:rPr>
            </w:pPr>
          </w:p>
        </w:tc>
      </w:tr>
      <w:tr w:rsidR="007B1F10" w:rsidRPr="00D04789" w14:paraId="49B10A08" w14:textId="77777777" w:rsidTr="00C036B2">
        <w:tc>
          <w:tcPr>
            <w:tcW w:w="5949" w:type="dxa"/>
          </w:tcPr>
          <w:p w14:paraId="12E071CE" w14:textId="77777777" w:rsidR="007B1F10" w:rsidRPr="00D04789" w:rsidRDefault="007B1F10" w:rsidP="00C036B2">
            <w:pPr>
              <w:rPr>
                <w:rFonts w:ascii="Arial" w:hAnsi="Arial" w:cs="Arial"/>
                <w:sz w:val="24"/>
                <w:szCs w:val="24"/>
              </w:rPr>
            </w:pPr>
            <w:r w:rsidRPr="00D04789">
              <w:rPr>
                <w:rFonts w:ascii="Arial" w:hAnsi="Arial" w:cs="Arial"/>
                <w:sz w:val="24"/>
                <w:szCs w:val="24"/>
              </w:rPr>
              <w:t xml:space="preserve">Change in Hours </w:t>
            </w:r>
          </w:p>
        </w:tc>
        <w:tc>
          <w:tcPr>
            <w:tcW w:w="3067" w:type="dxa"/>
          </w:tcPr>
          <w:p w14:paraId="477AB651" w14:textId="29FDFC37" w:rsidR="007B1F10" w:rsidRPr="00D04789" w:rsidRDefault="007B1F10" w:rsidP="00C036B2">
            <w:pPr>
              <w:jc w:val="center"/>
              <w:rPr>
                <w:rFonts w:ascii="Arial" w:hAnsi="Arial" w:cs="Arial"/>
                <w:sz w:val="24"/>
                <w:szCs w:val="24"/>
              </w:rPr>
            </w:pPr>
          </w:p>
        </w:tc>
      </w:tr>
      <w:tr w:rsidR="007B1F10" w:rsidRPr="00D04789" w14:paraId="566BD54A" w14:textId="77777777" w:rsidTr="00C036B2">
        <w:tc>
          <w:tcPr>
            <w:tcW w:w="5949" w:type="dxa"/>
          </w:tcPr>
          <w:p w14:paraId="27DAAF1F" w14:textId="77777777" w:rsidR="007B1F10" w:rsidRPr="00D04789" w:rsidRDefault="007B1F10" w:rsidP="00C036B2">
            <w:pPr>
              <w:rPr>
                <w:rFonts w:ascii="Arial" w:hAnsi="Arial" w:cs="Arial"/>
                <w:sz w:val="24"/>
                <w:szCs w:val="24"/>
              </w:rPr>
            </w:pPr>
            <w:r w:rsidRPr="00D04789">
              <w:rPr>
                <w:rFonts w:ascii="Arial" w:hAnsi="Arial" w:cs="Arial"/>
                <w:sz w:val="24"/>
                <w:szCs w:val="24"/>
              </w:rPr>
              <w:t>Change in Ownership</w:t>
            </w:r>
          </w:p>
        </w:tc>
        <w:tc>
          <w:tcPr>
            <w:tcW w:w="3067" w:type="dxa"/>
          </w:tcPr>
          <w:p w14:paraId="0B7D066A" w14:textId="77777777" w:rsidR="007B1F10" w:rsidRPr="00D04789" w:rsidRDefault="007B1F10" w:rsidP="00C036B2">
            <w:pPr>
              <w:rPr>
                <w:rFonts w:ascii="Arial" w:hAnsi="Arial" w:cs="Arial"/>
                <w:sz w:val="24"/>
                <w:szCs w:val="24"/>
              </w:rPr>
            </w:pPr>
          </w:p>
        </w:tc>
      </w:tr>
      <w:tr w:rsidR="007B1F10" w:rsidRPr="00D04789" w14:paraId="09F54E5E" w14:textId="77777777" w:rsidTr="00C036B2">
        <w:tc>
          <w:tcPr>
            <w:tcW w:w="5949" w:type="dxa"/>
          </w:tcPr>
          <w:p w14:paraId="01E26E59" w14:textId="77777777" w:rsidR="007B1F10" w:rsidRPr="00D04789" w:rsidRDefault="007B1F10" w:rsidP="00C036B2">
            <w:pPr>
              <w:rPr>
                <w:rFonts w:ascii="Arial" w:hAnsi="Arial" w:cs="Arial"/>
                <w:sz w:val="24"/>
                <w:szCs w:val="24"/>
              </w:rPr>
            </w:pPr>
            <w:r>
              <w:rPr>
                <w:rFonts w:ascii="Arial" w:hAnsi="Arial" w:cs="Arial"/>
                <w:sz w:val="24"/>
                <w:szCs w:val="24"/>
              </w:rPr>
              <w:t>Changes in Services</w:t>
            </w:r>
          </w:p>
        </w:tc>
        <w:tc>
          <w:tcPr>
            <w:tcW w:w="3067" w:type="dxa"/>
          </w:tcPr>
          <w:p w14:paraId="66B00679" w14:textId="77777777" w:rsidR="007B1F10" w:rsidRPr="00D04789" w:rsidRDefault="007B1F10" w:rsidP="00C036B2">
            <w:pPr>
              <w:rPr>
                <w:rFonts w:ascii="Arial" w:hAnsi="Arial" w:cs="Arial"/>
                <w:sz w:val="24"/>
                <w:szCs w:val="24"/>
              </w:rPr>
            </w:pPr>
          </w:p>
        </w:tc>
      </w:tr>
      <w:tr w:rsidR="00A07254" w:rsidRPr="00D04789" w14:paraId="327F3E9D" w14:textId="77777777" w:rsidTr="00C036B2">
        <w:tc>
          <w:tcPr>
            <w:tcW w:w="5949" w:type="dxa"/>
          </w:tcPr>
          <w:p w14:paraId="7C90AD33" w14:textId="5691D1D1" w:rsidR="00A07254" w:rsidRDefault="00A07254" w:rsidP="00C036B2">
            <w:pPr>
              <w:rPr>
                <w:rFonts w:ascii="Arial" w:hAnsi="Arial" w:cs="Arial"/>
                <w:sz w:val="24"/>
                <w:szCs w:val="24"/>
              </w:rPr>
            </w:pPr>
            <w:r>
              <w:rPr>
                <w:rFonts w:ascii="Arial" w:hAnsi="Arial" w:cs="Arial"/>
                <w:sz w:val="24"/>
                <w:szCs w:val="24"/>
              </w:rPr>
              <w:t>Consolidation of pharmacies</w:t>
            </w:r>
          </w:p>
        </w:tc>
        <w:tc>
          <w:tcPr>
            <w:tcW w:w="3067" w:type="dxa"/>
          </w:tcPr>
          <w:p w14:paraId="55517EED" w14:textId="4EF9890E" w:rsidR="00A07254" w:rsidRPr="00D04789" w:rsidRDefault="00A07254" w:rsidP="00A07254">
            <w:pPr>
              <w:jc w:val="center"/>
              <w:rPr>
                <w:rFonts w:ascii="Arial" w:hAnsi="Arial" w:cs="Arial"/>
                <w:sz w:val="24"/>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469A521" w14:textId="2C872044" w:rsidR="003A6B77" w:rsidRDefault="003A6B77" w:rsidP="002F48B0">
      <w:pPr>
        <w:spacing w:after="0" w:line="240" w:lineRule="auto"/>
        <w:rPr>
          <w:rFonts w:ascii="Arial" w:eastAsia="Times New Roman" w:hAnsi="Arial" w:cs="Arial"/>
          <w:b/>
          <w:color w:val="000000"/>
          <w:sz w:val="24"/>
          <w:lang w:val="en-US" w:eastAsia="en-GB"/>
        </w:rPr>
      </w:pPr>
      <w:r w:rsidRPr="003A6B77">
        <w:rPr>
          <w:rFonts w:ascii="Arial" w:eastAsia="Times New Roman" w:hAnsi="Arial" w:cs="Arial"/>
          <w:b/>
          <w:color w:val="000000"/>
          <w:sz w:val="24"/>
          <w:lang w:val="en-US" w:eastAsia="en-GB"/>
        </w:rPr>
        <w:t>Update from Lloyds Pharmacy</w:t>
      </w:r>
    </w:p>
    <w:p w14:paraId="56EDA479" w14:textId="77777777" w:rsidR="003A6B77" w:rsidRPr="003A6B77" w:rsidRDefault="003A6B77" w:rsidP="002F48B0">
      <w:pPr>
        <w:spacing w:after="0" w:line="240" w:lineRule="auto"/>
        <w:rPr>
          <w:rFonts w:ascii="Arial" w:eastAsia="Times New Roman" w:hAnsi="Arial" w:cs="Arial"/>
          <w:b/>
          <w:color w:val="000000"/>
          <w:sz w:val="24"/>
          <w:lang w:val="en-US" w:eastAsia="en-GB"/>
        </w:rPr>
      </w:pPr>
    </w:p>
    <w:p w14:paraId="5BFB6C58" w14:textId="2E0A6078" w:rsidR="002F48B0" w:rsidRPr="003A6B77" w:rsidRDefault="002F48B0" w:rsidP="002F48B0">
      <w:pPr>
        <w:spacing w:after="0" w:line="240" w:lineRule="auto"/>
        <w:rPr>
          <w:rFonts w:ascii="Arial" w:eastAsia="Times New Roman" w:hAnsi="Arial" w:cs="Arial"/>
          <w:color w:val="000000"/>
          <w:sz w:val="24"/>
          <w:lang w:val="en-US" w:eastAsia="en-GB"/>
        </w:rPr>
      </w:pPr>
      <w:r w:rsidRPr="003A6B77">
        <w:rPr>
          <w:rFonts w:ascii="Arial" w:eastAsia="Times New Roman" w:hAnsi="Arial" w:cs="Arial"/>
          <w:color w:val="000000"/>
          <w:sz w:val="24"/>
          <w:lang w:val="en-US" w:eastAsia="en-GB"/>
        </w:rPr>
        <w:t xml:space="preserve">Further to the ongoing and escalating coronavirus </w:t>
      </w:r>
      <w:r w:rsidR="003A6B77">
        <w:rPr>
          <w:rFonts w:ascii="Arial" w:eastAsia="Times New Roman" w:hAnsi="Arial" w:cs="Arial"/>
          <w:color w:val="000000"/>
          <w:sz w:val="24"/>
          <w:lang w:val="en-US" w:eastAsia="en-GB"/>
        </w:rPr>
        <w:t>situation</w:t>
      </w:r>
      <w:r w:rsidRPr="003A6B77">
        <w:rPr>
          <w:rFonts w:ascii="Arial" w:eastAsia="Times New Roman" w:hAnsi="Arial" w:cs="Arial"/>
          <w:color w:val="000000"/>
          <w:sz w:val="24"/>
          <w:lang w:val="en-US" w:eastAsia="en-GB"/>
        </w:rPr>
        <w:t xml:space="preserve">, Lloyds Pharmacy are making difficult but necessary decisions on a daily basis to ensure the safe </w:t>
      </w:r>
      <w:r w:rsidRPr="003A6B77">
        <w:rPr>
          <w:rFonts w:ascii="Arial" w:eastAsia="Times New Roman" w:hAnsi="Arial" w:cs="Arial"/>
          <w:color w:val="000000"/>
          <w:sz w:val="24"/>
          <w:lang w:val="en-US" w:eastAsia="en-GB"/>
        </w:rPr>
        <w:lastRenderedPageBreak/>
        <w:t xml:space="preserve">operation of </w:t>
      </w:r>
      <w:r w:rsidR="007B7887">
        <w:rPr>
          <w:rFonts w:ascii="Arial" w:eastAsia="Times New Roman" w:hAnsi="Arial" w:cs="Arial"/>
          <w:color w:val="000000"/>
          <w:sz w:val="24"/>
          <w:lang w:val="en-US" w:eastAsia="en-GB"/>
        </w:rPr>
        <w:t>their</w:t>
      </w:r>
      <w:r w:rsidRPr="003A6B77">
        <w:rPr>
          <w:rFonts w:ascii="Arial" w:eastAsia="Times New Roman" w:hAnsi="Arial" w:cs="Arial"/>
          <w:color w:val="000000"/>
          <w:sz w:val="24"/>
          <w:lang w:val="en-US" w:eastAsia="en-GB"/>
        </w:rPr>
        <w:t xml:space="preserve"> pharmacies. The key focus for Lloyds Pharmacy in </w:t>
      </w:r>
      <w:r w:rsidR="003A6B77">
        <w:rPr>
          <w:rFonts w:ascii="Arial" w:eastAsia="Times New Roman" w:hAnsi="Arial" w:cs="Arial"/>
          <w:color w:val="000000"/>
          <w:sz w:val="24"/>
          <w:lang w:val="en-US" w:eastAsia="en-GB"/>
        </w:rPr>
        <w:t>this rapidly changing situation</w:t>
      </w:r>
      <w:r w:rsidRPr="003A6B77">
        <w:rPr>
          <w:rFonts w:ascii="Arial" w:eastAsia="Times New Roman" w:hAnsi="Arial" w:cs="Arial"/>
          <w:color w:val="000000"/>
          <w:sz w:val="24"/>
          <w:lang w:val="en-US" w:eastAsia="en-GB"/>
        </w:rPr>
        <w:t xml:space="preserve"> is the continuity of medicine supply to patients and the health and welfare of </w:t>
      </w:r>
      <w:r w:rsidR="007B7887">
        <w:rPr>
          <w:rFonts w:ascii="Arial" w:eastAsia="Times New Roman" w:hAnsi="Arial" w:cs="Arial"/>
          <w:color w:val="000000"/>
          <w:sz w:val="24"/>
          <w:lang w:val="en-US" w:eastAsia="en-GB"/>
        </w:rPr>
        <w:t>their</w:t>
      </w:r>
      <w:r w:rsidRPr="003A6B77">
        <w:rPr>
          <w:rFonts w:ascii="Arial" w:eastAsia="Times New Roman" w:hAnsi="Arial" w:cs="Arial"/>
          <w:color w:val="000000"/>
          <w:sz w:val="24"/>
          <w:lang w:val="en-US" w:eastAsia="en-GB"/>
        </w:rPr>
        <w:t xml:space="preserve"> frontline pharmacy colleagues. </w:t>
      </w:r>
    </w:p>
    <w:p w14:paraId="4E06FE66" w14:textId="6A5165CC" w:rsidR="001F7E7D" w:rsidRPr="003A6B77" w:rsidRDefault="001F7E7D" w:rsidP="009F6704">
      <w:pPr>
        <w:spacing w:after="0" w:line="240" w:lineRule="auto"/>
        <w:rPr>
          <w:rFonts w:ascii="Arial" w:hAnsi="Arial" w:cs="Arial"/>
          <w:sz w:val="28"/>
          <w:szCs w:val="24"/>
        </w:rPr>
      </w:pPr>
    </w:p>
    <w:p w14:paraId="1980AD29" w14:textId="2BDBA41E" w:rsidR="002F48B0" w:rsidRPr="003A6B77" w:rsidRDefault="002F48B0" w:rsidP="009F6704">
      <w:pPr>
        <w:spacing w:after="0" w:line="240" w:lineRule="auto"/>
        <w:rPr>
          <w:rFonts w:ascii="Arial" w:eastAsia="Times New Roman" w:hAnsi="Arial" w:cs="Arial"/>
          <w:color w:val="000000"/>
          <w:sz w:val="24"/>
          <w:lang w:val="en-US" w:eastAsia="en-GB"/>
        </w:rPr>
      </w:pPr>
      <w:r w:rsidRPr="003A6B77">
        <w:rPr>
          <w:rFonts w:ascii="Arial" w:eastAsia="Times New Roman" w:hAnsi="Arial" w:cs="Arial"/>
          <w:color w:val="000000"/>
          <w:sz w:val="24"/>
          <w:lang w:val="en-US" w:eastAsia="en-GB"/>
        </w:rPr>
        <w:t xml:space="preserve">Therefore, the decision has been made with immediate effect to operate behind closed doors for the first and last hour of trading to enable </w:t>
      </w:r>
      <w:r w:rsidR="007B7887">
        <w:rPr>
          <w:rFonts w:ascii="Arial" w:eastAsia="Times New Roman" w:hAnsi="Arial" w:cs="Arial"/>
          <w:color w:val="000000"/>
          <w:sz w:val="24"/>
          <w:lang w:val="en-US" w:eastAsia="en-GB"/>
        </w:rPr>
        <w:t xml:space="preserve">their </w:t>
      </w:r>
      <w:r w:rsidRPr="003A6B77">
        <w:rPr>
          <w:rFonts w:ascii="Arial" w:eastAsia="Times New Roman" w:hAnsi="Arial" w:cs="Arial"/>
          <w:color w:val="000000"/>
          <w:sz w:val="24"/>
          <w:lang w:val="en-US" w:eastAsia="en-GB"/>
        </w:rPr>
        <w:t xml:space="preserve">teams to assemble and clinically check prescriptions in a calm and safe environment. In addition, all Lloyds Pharmacies will close between 1 &amp; 2 pm for lunch to enable all </w:t>
      </w:r>
      <w:r w:rsidR="007B7887">
        <w:rPr>
          <w:rFonts w:ascii="Arial" w:eastAsia="Times New Roman" w:hAnsi="Arial" w:cs="Arial"/>
          <w:color w:val="000000"/>
          <w:sz w:val="24"/>
          <w:lang w:val="en-US" w:eastAsia="en-GB"/>
        </w:rPr>
        <w:t>their</w:t>
      </w:r>
      <w:r w:rsidRPr="003A6B77">
        <w:rPr>
          <w:rFonts w:ascii="Arial" w:eastAsia="Times New Roman" w:hAnsi="Arial" w:cs="Arial"/>
          <w:color w:val="000000"/>
          <w:sz w:val="24"/>
          <w:lang w:val="en-US" w:eastAsia="en-GB"/>
        </w:rPr>
        <w:t xml:space="preserve"> colleagues to have a </w:t>
      </w:r>
      <w:r w:rsidR="00E456D6" w:rsidRPr="003A6B77">
        <w:rPr>
          <w:rFonts w:ascii="Arial" w:eastAsia="Times New Roman" w:hAnsi="Arial" w:cs="Arial"/>
          <w:color w:val="000000"/>
          <w:sz w:val="24"/>
          <w:lang w:val="en-US" w:eastAsia="en-GB"/>
        </w:rPr>
        <w:t>much-needed</w:t>
      </w:r>
      <w:r w:rsidRPr="003A6B77">
        <w:rPr>
          <w:rFonts w:ascii="Arial" w:eastAsia="Times New Roman" w:hAnsi="Arial" w:cs="Arial"/>
          <w:color w:val="000000"/>
          <w:sz w:val="24"/>
          <w:lang w:val="en-US" w:eastAsia="en-GB"/>
        </w:rPr>
        <w:t xml:space="preserve"> rest. </w:t>
      </w:r>
    </w:p>
    <w:p w14:paraId="7FE7ED7B" w14:textId="77777777" w:rsidR="00D71ED0" w:rsidRPr="009F6704" w:rsidRDefault="00D71ED0" w:rsidP="009F6704">
      <w:pPr>
        <w:spacing w:after="0" w:line="240" w:lineRule="auto"/>
        <w:rPr>
          <w:rFonts w:ascii="Arial" w:hAnsi="Arial" w:cs="Arial"/>
          <w:sz w:val="24"/>
          <w:szCs w:val="24"/>
        </w:rPr>
      </w:pPr>
    </w:p>
    <w:p w14:paraId="5639DAD0" w14:textId="77777777" w:rsidR="009F197C" w:rsidRPr="00D71ED0" w:rsidRDefault="009F197C" w:rsidP="009F197C">
      <w:pPr>
        <w:rPr>
          <w:rFonts w:ascii="Arial" w:hAnsi="Arial" w:cs="Arial"/>
          <w:sz w:val="24"/>
          <w:szCs w:val="24"/>
        </w:rPr>
      </w:pPr>
      <w:r w:rsidRPr="00D71ED0">
        <w:rPr>
          <w:rFonts w:ascii="Arial" w:hAnsi="Arial" w:cs="Arial"/>
          <w:sz w:val="24"/>
          <w:szCs w:val="24"/>
        </w:rPr>
        <w:t>Prepared by Sara Blackmore</w:t>
      </w:r>
    </w:p>
    <w:p w14:paraId="048C4950" w14:textId="77777777" w:rsidR="009F197C" w:rsidRDefault="009F197C" w:rsidP="009F197C">
      <w:pPr>
        <w:rPr>
          <w:rFonts w:ascii="Arial" w:hAnsi="Arial" w:cs="Arial"/>
          <w:sz w:val="24"/>
          <w:szCs w:val="24"/>
        </w:rPr>
      </w:pPr>
      <w:r w:rsidRPr="00D71ED0">
        <w:rPr>
          <w:rFonts w:ascii="Arial" w:hAnsi="Arial" w:cs="Arial"/>
          <w:sz w:val="24"/>
          <w:szCs w:val="24"/>
        </w:rPr>
        <w:t>Director of Public Health, South Gloucestershire Council</w:t>
      </w:r>
    </w:p>
    <w:p w14:paraId="14E53D2F" w14:textId="303FD34F" w:rsidR="009F197C" w:rsidRPr="002F7D81" w:rsidRDefault="003A6B77" w:rsidP="009F197C">
      <w:pPr>
        <w:rPr>
          <w:rFonts w:ascii="Arial" w:hAnsi="Arial" w:cs="Arial"/>
          <w:sz w:val="24"/>
          <w:szCs w:val="24"/>
        </w:rPr>
      </w:pPr>
      <w:r>
        <w:rPr>
          <w:rFonts w:ascii="Arial" w:hAnsi="Arial" w:cs="Arial"/>
          <w:sz w:val="24"/>
          <w:szCs w:val="24"/>
        </w:rPr>
        <w:t>April</w:t>
      </w:r>
      <w:r w:rsidR="002F48B0">
        <w:rPr>
          <w:rFonts w:ascii="Arial" w:hAnsi="Arial" w:cs="Arial"/>
          <w:sz w:val="24"/>
          <w:szCs w:val="24"/>
        </w:rPr>
        <w:t xml:space="preserve"> 2020</w:t>
      </w:r>
    </w:p>
    <w:p w14:paraId="30DEA33D" w14:textId="25E9AF2D" w:rsidR="002F7D81" w:rsidRPr="002F7D81" w:rsidRDefault="002F7D81" w:rsidP="002F7D81">
      <w:pPr>
        <w:rPr>
          <w:rFonts w:ascii="Arial" w:hAnsi="Arial" w:cs="Arial"/>
          <w:sz w:val="24"/>
          <w:szCs w:val="24"/>
        </w:rPr>
      </w:pPr>
    </w:p>
    <w:sectPr w:rsidR="002F7D81" w:rsidRPr="002F7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7"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2"/>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DE"/>
    <w:rsid w:val="00033A23"/>
    <w:rsid w:val="000B1FDE"/>
    <w:rsid w:val="00141321"/>
    <w:rsid w:val="001F5DB3"/>
    <w:rsid w:val="001F7E7D"/>
    <w:rsid w:val="00207F86"/>
    <w:rsid w:val="00252E22"/>
    <w:rsid w:val="002D422A"/>
    <w:rsid w:val="002F48B0"/>
    <w:rsid w:val="002F7D81"/>
    <w:rsid w:val="00302E6A"/>
    <w:rsid w:val="003A6B77"/>
    <w:rsid w:val="00514A22"/>
    <w:rsid w:val="00521626"/>
    <w:rsid w:val="00535915"/>
    <w:rsid w:val="005B5BD1"/>
    <w:rsid w:val="00636508"/>
    <w:rsid w:val="006565DD"/>
    <w:rsid w:val="007351F9"/>
    <w:rsid w:val="007B1F10"/>
    <w:rsid w:val="007B7887"/>
    <w:rsid w:val="008667B2"/>
    <w:rsid w:val="009737C3"/>
    <w:rsid w:val="009B453C"/>
    <w:rsid w:val="009F197C"/>
    <w:rsid w:val="009F6704"/>
    <w:rsid w:val="00A0658A"/>
    <w:rsid w:val="00A07254"/>
    <w:rsid w:val="00A83869"/>
    <w:rsid w:val="00AA3601"/>
    <w:rsid w:val="00C00054"/>
    <w:rsid w:val="00C012FD"/>
    <w:rsid w:val="00C01AB7"/>
    <w:rsid w:val="00C03B3A"/>
    <w:rsid w:val="00D04789"/>
    <w:rsid w:val="00D71ED0"/>
    <w:rsid w:val="00E456D6"/>
    <w:rsid w:val="00E935D0"/>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D56A2B-A37E-422D-9EDD-8E3F43C1DFB9}">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71E1006-E643-45F1-8368-F24096313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2020-03-30T18:33:00Z</dcterms:created>
  <dcterms:modified xsi:type="dcterms:W3CDTF">2020-03-30T18:33:00Z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