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proofErr w:type="spellStart"/>
      <w:r w:rsidRPr="00D95AA4">
        <w:rPr>
          <w:rFonts w:ascii="Arial" w:hAnsi="Arial" w:cs="Arial"/>
          <w:szCs w:val="24"/>
        </w:rPr>
        <w:t>Reg</w:t>
      </w:r>
      <w:proofErr w:type="spellEnd"/>
      <w:r w:rsidRPr="00D95AA4">
        <w:rPr>
          <w:rFonts w:ascii="Arial" w:hAnsi="Arial" w:cs="Arial"/>
          <w:szCs w:val="24"/>
        </w:rPr>
        <w:t xml:space="preserve">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71D4E18C" w:rsidR="00521626" w:rsidRPr="00D95AA4" w:rsidRDefault="00A07254" w:rsidP="000B1FDE">
            <w:pPr>
              <w:rPr>
                <w:rFonts w:ascii="Arial" w:hAnsi="Arial" w:cs="Arial"/>
                <w:szCs w:val="24"/>
              </w:rPr>
            </w:pPr>
            <w:r w:rsidRPr="00D95AA4">
              <w:rPr>
                <w:rFonts w:ascii="Arial" w:hAnsi="Arial" w:cs="Arial"/>
                <w:szCs w:val="24"/>
              </w:rPr>
              <w:t>April 2018</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3DB301EB" w:rsidR="00521626" w:rsidRPr="00D95AA4" w:rsidRDefault="00927504" w:rsidP="000B1FDE">
            <w:pPr>
              <w:rPr>
                <w:rFonts w:ascii="Arial" w:hAnsi="Arial" w:cs="Arial"/>
                <w:szCs w:val="24"/>
              </w:rPr>
            </w:pPr>
            <w:r>
              <w:rPr>
                <w:rFonts w:ascii="Arial" w:hAnsi="Arial" w:cs="Arial"/>
                <w:szCs w:val="24"/>
              </w:rPr>
              <w:t>April</w:t>
            </w:r>
            <w:r w:rsidR="00DC7CFF">
              <w:rPr>
                <w:rFonts w:ascii="Arial" w:hAnsi="Arial" w:cs="Arial"/>
                <w:szCs w:val="24"/>
              </w:rPr>
              <w:t xml:space="preserve"> 2021</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7839E9B0" w:rsidR="00521626" w:rsidRPr="00D95AA4" w:rsidRDefault="00927504" w:rsidP="000B1FDE">
            <w:pPr>
              <w:rPr>
                <w:rFonts w:ascii="Arial" w:hAnsi="Arial" w:cs="Arial"/>
                <w:szCs w:val="24"/>
              </w:rPr>
            </w:pPr>
            <w:r>
              <w:rPr>
                <w:rFonts w:ascii="Arial" w:hAnsi="Arial" w:cs="Arial"/>
                <w:szCs w:val="24"/>
              </w:rPr>
              <w:t>9</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60C70703"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15C47DE0" w:rsidR="007B1F10" w:rsidRPr="00D95AA4" w:rsidRDefault="00D95AA4" w:rsidP="00C036B2">
            <w:pPr>
              <w:jc w:val="center"/>
              <w:rPr>
                <w:rFonts w:ascii="Arial" w:hAnsi="Arial" w:cs="Arial"/>
                <w:szCs w:val="24"/>
              </w:rPr>
            </w:pPr>
            <w:r w:rsidRPr="00D95AA4">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663BBDA" w14:textId="3A483D68" w:rsidR="00DC7CFF" w:rsidRDefault="000A4AD9" w:rsidP="002F48B0">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2C683AE7" w14:textId="77777777" w:rsidR="00927504" w:rsidRDefault="00927504" w:rsidP="002F48B0">
      <w:pPr>
        <w:spacing w:after="0" w:line="240" w:lineRule="auto"/>
        <w:rPr>
          <w:rFonts w:ascii="Arial" w:eastAsia="Times New Roman" w:hAnsi="Arial" w:cs="Arial"/>
          <w:b/>
          <w:color w:val="000000"/>
          <w:sz w:val="24"/>
          <w:lang w:val="en-US" w:eastAsia="en-GB"/>
        </w:rPr>
      </w:pPr>
    </w:p>
    <w:p w14:paraId="1C052D3B" w14:textId="77777777" w:rsidR="00927504" w:rsidRPr="00927504" w:rsidRDefault="00927504" w:rsidP="00927504">
      <w:pPr>
        <w:spacing w:after="0" w:line="240" w:lineRule="auto"/>
        <w:rPr>
          <w:rFonts w:ascii="Calibri" w:eastAsia="Times New Roman" w:hAnsi="Calibri" w:cs="Times New Roman"/>
          <w:color w:val="000000"/>
          <w:lang w:eastAsia="en-GB"/>
        </w:rPr>
      </w:pPr>
      <w:r w:rsidRPr="00927504">
        <w:rPr>
          <w:rFonts w:ascii="Calibri" w:eastAsia="Times New Roman" w:hAnsi="Calibri" w:cs="Times New Roman"/>
          <w:color w:val="000000"/>
          <w:lang w:eastAsia="en-GB"/>
        </w:rPr>
        <w:t>Pharmacy: Boots Pharmacy</w:t>
      </w:r>
    </w:p>
    <w:p w14:paraId="0A4F4D3E" w14:textId="77777777" w:rsidR="00927504" w:rsidRPr="00927504" w:rsidRDefault="00927504" w:rsidP="00927504">
      <w:pPr>
        <w:spacing w:after="0" w:line="240" w:lineRule="auto"/>
        <w:rPr>
          <w:rFonts w:ascii="Calibri" w:eastAsia="Times New Roman" w:hAnsi="Calibri" w:cs="Times New Roman"/>
          <w:color w:val="000000"/>
          <w:lang w:eastAsia="en-GB"/>
        </w:rPr>
      </w:pPr>
      <w:r w:rsidRPr="00927504">
        <w:rPr>
          <w:rFonts w:ascii="Calibri" w:eastAsia="Times New Roman" w:hAnsi="Calibri" w:cs="Times New Roman"/>
          <w:color w:val="000000"/>
          <w:lang w:eastAsia="en-GB"/>
        </w:rPr>
        <w:t xml:space="preserve">Address: 116 </w:t>
      </w:r>
      <w:proofErr w:type="gramStart"/>
      <w:r w:rsidRPr="00927504">
        <w:rPr>
          <w:rFonts w:ascii="Calibri" w:eastAsia="Times New Roman" w:hAnsi="Calibri" w:cs="Times New Roman"/>
          <w:color w:val="000000"/>
          <w:lang w:eastAsia="en-GB"/>
        </w:rPr>
        <w:t>The</w:t>
      </w:r>
      <w:proofErr w:type="gramEnd"/>
      <w:r w:rsidRPr="00927504">
        <w:rPr>
          <w:rFonts w:ascii="Calibri" w:eastAsia="Times New Roman" w:hAnsi="Calibri" w:cs="Times New Roman"/>
          <w:color w:val="000000"/>
          <w:lang w:eastAsia="en-GB"/>
        </w:rPr>
        <w:t xml:space="preserve"> Mall, </w:t>
      </w:r>
      <w:proofErr w:type="spellStart"/>
      <w:r w:rsidRPr="00927504">
        <w:rPr>
          <w:rFonts w:ascii="Calibri" w:eastAsia="Times New Roman" w:hAnsi="Calibri" w:cs="Times New Roman"/>
          <w:color w:val="000000"/>
          <w:lang w:eastAsia="en-GB"/>
        </w:rPr>
        <w:t>Cribbs</w:t>
      </w:r>
      <w:proofErr w:type="spellEnd"/>
      <w:r w:rsidRPr="00927504">
        <w:rPr>
          <w:rFonts w:ascii="Calibri" w:eastAsia="Times New Roman" w:hAnsi="Calibri" w:cs="Times New Roman"/>
          <w:color w:val="000000"/>
          <w:lang w:eastAsia="en-GB"/>
        </w:rPr>
        <w:t xml:space="preserve"> Causeway BS34 5UP</w:t>
      </w:r>
    </w:p>
    <w:p w14:paraId="1F52F4AE" w14:textId="77777777" w:rsidR="00927504" w:rsidRPr="00927504" w:rsidRDefault="00927504" w:rsidP="00927504">
      <w:pPr>
        <w:spacing w:after="0" w:line="240" w:lineRule="auto"/>
        <w:rPr>
          <w:rFonts w:ascii="Calibri" w:eastAsia="Times New Roman" w:hAnsi="Calibri" w:cs="Times New Roman"/>
          <w:color w:val="000000"/>
          <w:lang w:eastAsia="en-GB"/>
        </w:rPr>
      </w:pPr>
      <w:r w:rsidRPr="00927504">
        <w:rPr>
          <w:rFonts w:ascii="Calibri" w:eastAsia="Times New Roman" w:hAnsi="Calibri" w:cs="Times New Roman"/>
          <w:color w:val="000000"/>
          <w:lang w:eastAsia="en-GB"/>
        </w:rPr>
        <w:t> </w:t>
      </w:r>
    </w:p>
    <w:p w14:paraId="4C8170AE" w14:textId="77777777" w:rsidR="00927504" w:rsidRPr="00927504" w:rsidRDefault="00927504" w:rsidP="00927504">
      <w:pPr>
        <w:spacing w:after="0" w:line="240" w:lineRule="auto"/>
        <w:rPr>
          <w:rFonts w:ascii="Calibri" w:eastAsia="Times New Roman" w:hAnsi="Calibri" w:cs="Times New Roman"/>
          <w:color w:val="000000"/>
          <w:lang w:eastAsia="en-GB"/>
        </w:rPr>
      </w:pPr>
      <w:r w:rsidRPr="00927504">
        <w:rPr>
          <w:rFonts w:ascii="Calibri" w:eastAsia="Times New Roman" w:hAnsi="Calibri" w:cs="Times New Roman"/>
          <w:color w:val="000000"/>
          <w:lang w:eastAsia="en-GB"/>
        </w:rPr>
        <w:t xml:space="preserve">The above-mentioned pharmacy changes opening hours with effect from </w:t>
      </w:r>
      <w:r w:rsidRPr="00927504">
        <w:rPr>
          <w:rFonts w:ascii="Calibri" w:eastAsia="Times New Roman" w:hAnsi="Calibri" w:cs="Times New Roman"/>
          <w:b/>
          <w:bCs/>
          <w:color w:val="000000"/>
          <w:lang w:eastAsia="en-GB"/>
        </w:rPr>
        <w:t>12</w:t>
      </w:r>
      <w:r w:rsidRPr="00927504">
        <w:rPr>
          <w:rFonts w:ascii="Calibri" w:eastAsia="Times New Roman" w:hAnsi="Calibri" w:cs="Times New Roman"/>
          <w:b/>
          <w:bCs/>
          <w:color w:val="000000"/>
          <w:vertAlign w:val="superscript"/>
          <w:lang w:eastAsia="en-GB"/>
        </w:rPr>
        <w:t>th</w:t>
      </w:r>
      <w:r w:rsidRPr="00927504">
        <w:rPr>
          <w:rFonts w:ascii="Calibri" w:eastAsia="Times New Roman" w:hAnsi="Calibri" w:cs="Times New Roman"/>
          <w:b/>
          <w:bCs/>
          <w:color w:val="000000"/>
          <w:lang w:eastAsia="en-GB"/>
        </w:rPr>
        <w:t xml:space="preserve"> April 2021</w:t>
      </w:r>
      <w:r w:rsidRPr="00927504">
        <w:rPr>
          <w:rFonts w:ascii="Calibri" w:eastAsia="Times New Roman" w:hAnsi="Calibri" w:cs="Times New Roman"/>
          <w:color w:val="000000"/>
          <w:lang w:eastAsia="en-GB"/>
        </w:rPr>
        <w:t>. The pharmacy will now close 1 hour earlier Monday – Friday (20:00 instead of 21:00) as follows:</w:t>
      </w:r>
    </w:p>
    <w:p w14:paraId="1CCCA944" w14:textId="77777777" w:rsidR="00927504" w:rsidRPr="00927504" w:rsidRDefault="00927504" w:rsidP="00927504">
      <w:pPr>
        <w:spacing w:after="0" w:line="240" w:lineRule="auto"/>
        <w:rPr>
          <w:rFonts w:ascii="Calibri" w:eastAsia="Times New Roman" w:hAnsi="Calibri" w:cs="Times New Roman"/>
          <w:color w:val="000000"/>
          <w:lang w:eastAsia="en-GB"/>
        </w:rPr>
      </w:pPr>
      <w:r w:rsidRPr="00927504">
        <w:rPr>
          <w:rFonts w:ascii="Calibri" w:eastAsia="Times New Roman" w:hAnsi="Calibri" w:cs="Times New Roman"/>
          <w:color w:val="000000"/>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42"/>
        <w:gridCol w:w="2978"/>
        <w:gridCol w:w="4566"/>
      </w:tblGrid>
      <w:tr w:rsidR="00927504" w:rsidRPr="00927504" w14:paraId="0F19E276" w14:textId="77777777" w:rsidTr="00927504">
        <w:tc>
          <w:tcPr>
            <w:tcW w:w="1342"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72865850" w14:textId="77777777" w:rsidR="00927504" w:rsidRPr="00927504" w:rsidRDefault="00927504" w:rsidP="00927504">
            <w:pPr>
              <w:spacing w:after="0" w:line="240" w:lineRule="auto"/>
              <w:rPr>
                <w:rFonts w:ascii="Calibri" w:eastAsia="Times New Roman" w:hAnsi="Calibri" w:cs="Times New Roman"/>
                <w:sz w:val="24"/>
                <w:szCs w:val="24"/>
                <w:lang w:eastAsia="en-GB"/>
              </w:rPr>
            </w:pPr>
            <w:r w:rsidRPr="00927504">
              <w:rPr>
                <w:rFonts w:ascii="Calibri" w:eastAsia="Times New Roman" w:hAnsi="Calibri" w:cs="Times New Roman"/>
                <w:sz w:val="24"/>
                <w:szCs w:val="24"/>
                <w:lang w:eastAsia="en-GB"/>
              </w:rPr>
              <w:t> </w:t>
            </w:r>
          </w:p>
        </w:tc>
        <w:tc>
          <w:tcPr>
            <w:tcW w:w="2978"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26F6E143" w14:textId="77777777" w:rsidR="00927504" w:rsidRPr="00927504" w:rsidRDefault="00927504" w:rsidP="00927504">
            <w:pPr>
              <w:spacing w:after="0" w:line="240" w:lineRule="auto"/>
              <w:jc w:val="center"/>
              <w:rPr>
                <w:rFonts w:ascii="Calibri" w:eastAsia="Times New Roman" w:hAnsi="Calibri" w:cs="Times New Roman"/>
                <w:color w:val="000000"/>
                <w:lang w:eastAsia="en-GB"/>
              </w:rPr>
            </w:pPr>
            <w:r w:rsidRPr="00927504">
              <w:rPr>
                <w:rFonts w:ascii="Calibri" w:eastAsia="Times New Roman" w:hAnsi="Calibri" w:cs="Times New Roman"/>
                <w:b/>
                <w:bCs/>
                <w:color w:val="000000"/>
                <w:lang w:eastAsia="en-GB"/>
              </w:rPr>
              <w:t>CORE</w:t>
            </w:r>
          </w:p>
        </w:tc>
        <w:tc>
          <w:tcPr>
            <w:tcW w:w="4566"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682C85E7" w14:textId="77777777" w:rsidR="00927504" w:rsidRPr="00927504" w:rsidRDefault="00927504" w:rsidP="00927504">
            <w:pPr>
              <w:spacing w:after="0" w:line="240" w:lineRule="auto"/>
              <w:jc w:val="center"/>
              <w:rPr>
                <w:rFonts w:ascii="Calibri" w:eastAsia="Times New Roman" w:hAnsi="Calibri" w:cs="Times New Roman"/>
                <w:color w:val="000000"/>
                <w:lang w:eastAsia="en-GB"/>
              </w:rPr>
            </w:pPr>
            <w:r w:rsidRPr="00927504">
              <w:rPr>
                <w:rFonts w:ascii="Calibri" w:eastAsia="Times New Roman" w:hAnsi="Calibri" w:cs="Times New Roman"/>
                <w:b/>
                <w:bCs/>
                <w:color w:val="000000"/>
                <w:lang w:eastAsia="en-GB"/>
              </w:rPr>
              <w:t>SUPPLEMENTARY</w:t>
            </w:r>
          </w:p>
        </w:tc>
      </w:tr>
      <w:tr w:rsidR="00927504" w:rsidRPr="00927504" w14:paraId="5EE7D2A5"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117FC9"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Monday</w:t>
            </w:r>
          </w:p>
        </w:tc>
        <w:tc>
          <w:tcPr>
            <w:tcW w:w="29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6047B2"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10:00 – 14:00 &amp; 15:00 – 18:00</w:t>
            </w:r>
          </w:p>
        </w:tc>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AB2CF0"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 xml:space="preserve">08:30 – 10:00 &amp; 14:00 – 15:00 &amp; 18:00 – 20:00 </w:t>
            </w:r>
          </w:p>
        </w:tc>
      </w:tr>
      <w:tr w:rsidR="00927504" w:rsidRPr="00927504" w14:paraId="1C8F9B17"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88ED83"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Tuesday</w:t>
            </w:r>
          </w:p>
        </w:tc>
        <w:tc>
          <w:tcPr>
            <w:tcW w:w="29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0CB82B"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10:00 – 14:00 &amp; 15:00 – 18:00</w:t>
            </w:r>
          </w:p>
        </w:tc>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0233F3"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08:30 – 10:00 &amp; 14:00 – 15:00 &amp; 18:00 – 20:00</w:t>
            </w:r>
          </w:p>
        </w:tc>
      </w:tr>
      <w:tr w:rsidR="00927504" w:rsidRPr="00927504" w14:paraId="7676F0BC"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3D8278"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Wednesday</w:t>
            </w:r>
          </w:p>
        </w:tc>
        <w:tc>
          <w:tcPr>
            <w:tcW w:w="29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C30983"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10:00 – 14:00 &amp; 15:00 – 18:00</w:t>
            </w:r>
          </w:p>
        </w:tc>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50D136"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08:30 – 10:00 &amp; 14:00 – 15:00 &amp; 18:00 – 20:00</w:t>
            </w:r>
          </w:p>
        </w:tc>
      </w:tr>
      <w:tr w:rsidR="00927504" w:rsidRPr="00927504" w14:paraId="59DB192F"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FE609F"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Thursday</w:t>
            </w:r>
          </w:p>
        </w:tc>
        <w:tc>
          <w:tcPr>
            <w:tcW w:w="29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CD8535"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10:00 – 14:00 &amp; 15:00 – 18:00</w:t>
            </w:r>
          </w:p>
        </w:tc>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7C2D19"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08:30 – 10:00 &amp; 14:00 – 15:00 &amp; 18:00 – 20:00</w:t>
            </w:r>
          </w:p>
        </w:tc>
      </w:tr>
      <w:tr w:rsidR="00927504" w:rsidRPr="00927504" w14:paraId="7B6EE9EC"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61F8B7"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Friday</w:t>
            </w:r>
          </w:p>
        </w:tc>
        <w:tc>
          <w:tcPr>
            <w:tcW w:w="29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8F59BF"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10:00 – 14:00 &amp; 15:00 – 18:00</w:t>
            </w:r>
          </w:p>
        </w:tc>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72E959"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08:30 – 10:00 &amp; 14:00 – 15:00 &amp; 18:00 – 20:00</w:t>
            </w:r>
          </w:p>
        </w:tc>
      </w:tr>
      <w:tr w:rsidR="00927504" w:rsidRPr="00927504" w14:paraId="73647EB8"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1106D5"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Saturday</w:t>
            </w:r>
          </w:p>
        </w:tc>
        <w:tc>
          <w:tcPr>
            <w:tcW w:w="29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3FFC35"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10:00 – 14:00 &amp; 15:00 – 16:00</w:t>
            </w:r>
          </w:p>
        </w:tc>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BB6D80"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08:30 – 10:00 &amp; 14:00 – 15:00 &amp; 16:00 – 20:00</w:t>
            </w:r>
          </w:p>
        </w:tc>
      </w:tr>
      <w:tr w:rsidR="00927504" w:rsidRPr="00927504" w14:paraId="5A843B1E"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5E5406"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Sunday</w:t>
            </w:r>
          </w:p>
        </w:tc>
        <w:tc>
          <w:tcPr>
            <w:tcW w:w="29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CA5BB2"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w:t>
            </w:r>
          </w:p>
        </w:tc>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2C9CB2"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11:00 – 17:00</w:t>
            </w:r>
          </w:p>
        </w:tc>
      </w:tr>
    </w:tbl>
    <w:p w14:paraId="1D94CD8F" w14:textId="77777777" w:rsidR="00927504" w:rsidRDefault="00927504" w:rsidP="00927504">
      <w:pPr>
        <w:spacing w:after="0" w:line="240" w:lineRule="auto"/>
        <w:rPr>
          <w:rFonts w:ascii="Calibri" w:eastAsia="Times New Roman" w:hAnsi="Calibri" w:cs="Times New Roman"/>
          <w:color w:val="000000"/>
          <w:lang w:eastAsia="en-GB"/>
        </w:rPr>
      </w:pPr>
    </w:p>
    <w:p w14:paraId="709EAB95" w14:textId="77777777" w:rsidR="00927504" w:rsidRDefault="00927504" w:rsidP="00927504">
      <w:pPr>
        <w:spacing w:after="0" w:line="240" w:lineRule="auto"/>
        <w:rPr>
          <w:rFonts w:ascii="Calibri" w:eastAsia="Times New Roman" w:hAnsi="Calibri" w:cs="Times New Roman"/>
          <w:color w:val="000000"/>
          <w:lang w:eastAsia="en-GB"/>
        </w:rPr>
      </w:pPr>
    </w:p>
    <w:p w14:paraId="12295BA8" w14:textId="77777777" w:rsidR="00927504" w:rsidRDefault="00927504" w:rsidP="00927504">
      <w:pPr>
        <w:spacing w:after="0" w:line="240" w:lineRule="auto"/>
        <w:rPr>
          <w:rFonts w:ascii="Calibri" w:eastAsia="Times New Roman" w:hAnsi="Calibri" w:cs="Times New Roman"/>
          <w:color w:val="000000"/>
          <w:lang w:eastAsia="en-GB"/>
        </w:rPr>
      </w:pPr>
    </w:p>
    <w:p w14:paraId="1DDCE1AA" w14:textId="77777777" w:rsidR="00927504" w:rsidRPr="00927504" w:rsidRDefault="00927504" w:rsidP="00927504">
      <w:pPr>
        <w:spacing w:after="0" w:line="240" w:lineRule="auto"/>
        <w:rPr>
          <w:rFonts w:ascii="Calibri" w:eastAsia="Times New Roman" w:hAnsi="Calibri" w:cs="Times New Roman"/>
          <w:color w:val="000000"/>
          <w:lang w:eastAsia="en-GB"/>
        </w:rPr>
      </w:pPr>
      <w:r w:rsidRPr="00927504">
        <w:rPr>
          <w:rFonts w:ascii="Calibri" w:eastAsia="Times New Roman" w:hAnsi="Calibri" w:cs="Times New Roman"/>
          <w:color w:val="000000"/>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42"/>
        <w:gridCol w:w="1663"/>
      </w:tblGrid>
      <w:tr w:rsidR="00927504" w:rsidRPr="00927504" w14:paraId="59743073" w14:textId="77777777" w:rsidTr="00927504">
        <w:tc>
          <w:tcPr>
            <w:tcW w:w="1342"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3DCA0296" w14:textId="77777777" w:rsidR="00927504" w:rsidRPr="00927504" w:rsidRDefault="00927504" w:rsidP="00927504">
            <w:pPr>
              <w:spacing w:after="0" w:line="240" w:lineRule="auto"/>
              <w:rPr>
                <w:rFonts w:ascii="Calibri" w:eastAsia="Times New Roman" w:hAnsi="Calibri" w:cs="Times New Roman"/>
                <w:sz w:val="24"/>
                <w:szCs w:val="24"/>
                <w:lang w:eastAsia="en-GB"/>
              </w:rPr>
            </w:pPr>
            <w:r w:rsidRPr="00927504">
              <w:rPr>
                <w:rFonts w:ascii="Calibri" w:eastAsia="Times New Roman" w:hAnsi="Calibri" w:cs="Times New Roman"/>
                <w:sz w:val="24"/>
                <w:szCs w:val="24"/>
                <w:lang w:eastAsia="en-GB"/>
              </w:rPr>
              <w:lastRenderedPageBreak/>
              <w:t> </w:t>
            </w:r>
          </w:p>
        </w:tc>
        <w:tc>
          <w:tcPr>
            <w:tcW w:w="1663"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09D20771" w14:textId="77777777" w:rsidR="00927504" w:rsidRPr="00927504" w:rsidRDefault="00927504" w:rsidP="00927504">
            <w:pPr>
              <w:spacing w:after="0" w:line="240" w:lineRule="auto"/>
              <w:jc w:val="center"/>
              <w:rPr>
                <w:rFonts w:ascii="Calibri" w:eastAsia="Times New Roman" w:hAnsi="Calibri" w:cs="Times New Roman"/>
                <w:color w:val="000000"/>
                <w:lang w:eastAsia="en-GB"/>
              </w:rPr>
            </w:pPr>
            <w:r w:rsidRPr="00927504">
              <w:rPr>
                <w:rFonts w:ascii="Calibri" w:eastAsia="Times New Roman" w:hAnsi="Calibri" w:cs="Times New Roman"/>
                <w:b/>
                <w:bCs/>
                <w:color w:val="000000"/>
                <w:lang w:eastAsia="en-GB"/>
              </w:rPr>
              <w:t>TOTAL HOURS</w:t>
            </w:r>
          </w:p>
        </w:tc>
      </w:tr>
      <w:tr w:rsidR="00927504" w:rsidRPr="00927504" w14:paraId="33E8CF25"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7380AB"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Monday</w:t>
            </w:r>
          </w:p>
        </w:tc>
        <w:tc>
          <w:tcPr>
            <w:tcW w:w="16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1C189B"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08:30 – 20:00</w:t>
            </w:r>
          </w:p>
        </w:tc>
      </w:tr>
      <w:tr w:rsidR="00927504" w:rsidRPr="00927504" w14:paraId="48757074"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5F9A4F"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Tuesday</w:t>
            </w:r>
          </w:p>
        </w:tc>
        <w:tc>
          <w:tcPr>
            <w:tcW w:w="16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AF7056"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08:30 – 20:00</w:t>
            </w:r>
          </w:p>
        </w:tc>
      </w:tr>
      <w:tr w:rsidR="00927504" w:rsidRPr="00927504" w14:paraId="7669DE22"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67EA7B"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Wednesday</w:t>
            </w:r>
          </w:p>
        </w:tc>
        <w:tc>
          <w:tcPr>
            <w:tcW w:w="16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9B5072"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08:30 – 20:00</w:t>
            </w:r>
          </w:p>
        </w:tc>
      </w:tr>
      <w:tr w:rsidR="00927504" w:rsidRPr="00927504" w14:paraId="327A8640"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7BAB72"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Thursday</w:t>
            </w:r>
          </w:p>
        </w:tc>
        <w:tc>
          <w:tcPr>
            <w:tcW w:w="16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6D203C"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08:30 – 20:00</w:t>
            </w:r>
          </w:p>
        </w:tc>
      </w:tr>
      <w:tr w:rsidR="00927504" w:rsidRPr="00927504" w14:paraId="42830153"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7D00AC"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Friday</w:t>
            </w:r>
          </w:p>
        </w:tc>
        <w:tc>
          <w:tcPr>
            <w:tcW w:w="16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8F7B88"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08:30 – 20:00</w:t>
            </w:r>
          </w:p>
        </w:tc>
      </w:tr>
      <w:tr w:rsidR="00927504" w:rsidRPr="00927504" w14:paraId="677A8548"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D69CBA"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Saturday</w:t>
            </w:r>
          </w:p>
        </w:tc>
        <w:tc>
          <w:tcPr>
            <w:tcW w:w="16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4761A9"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08:30 – 20:00</w:t>
            </w:r>
          </w:p>
        </w:tc>
      </w:tr>
      <w:tr w:rsidR="00927504" w:rsidRPr="00927504" w14:paraId="04A147FA" w14:textId="77777777" w:rsidTr="0092750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5802C8" w14:textId="77777777" w:rsidR="00927504" w:rsidRPr="00927504" w:rsidRDefault="00927504" w:rsidP="00927504">
            <w:pPr>
              <w:spacing w:after="0" w:line="240" w:lineRule="auto"/>
              <w:rPr>
                <w:rFonts w:ascii="Calibri" w:eastAsia="Times New Roman" w:hAnsi="Calibri" w:cs="Times New Roman"/>
                <w:lang w:eastAsia="en-GB"/>
              </w:rPr>
            </w:pPr>
            <w:r w:rsidRPr="00927504">
              <w:rPr>
                <w:rFonts w:ascii="Calibri" w:eastAsia="Times New Roman" w:hAnsi="Calibri" w:cs="Times New Roman"/>
                <w:lang w:eastAsia="en-GB"/>
              </w:rPr>
              <w:t>Sunday</w:t>
            </w:r>
          </w:p>
        </w:tc>
        <w:tc>
          <w:tcPr>
            <w:tcW w:w="16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F9483" w14:textId="77777777" w:rsidR="00927504" w:rsidRPr="00927504" w:rsidRDefault="00927504" w:rsidP="00927504">
            <w:pPr>
              <w:spacing w:after="0" w:line="240" w:lineRule="auto"/>
              <w:jc w:val="center"/>
              <w:rPr>
                <w:rFonts w:ascii="Calibri" w:eastAsia="Times New Roman" w:hAnsi="Calibri" w:cs="Times New Roman"/>
                <w:lang w:eastAsia="en-GB"/>
              </w:rPr>
            </w:pPr>
            <w:r w:rsidRPr="00927504">
              <w:rPr>
                <w:rFonts w:ascii="Calibri" w:eastAsia="Times New Roman" w:hAnsi="Calibri" w:cs="Times New Roman"/>
                <w:lang w:eastAsia="en-GB"/>
              </w:rPr>
              <w:t>11:00 – 17:00</w:t>
            </w:r>
          </w:p>
        </w:tc>
      </w:tr>
    </w:tbl>
    <w:p w14:paraId="1C2A1B21" w14:textId="77777777" w:rsidR="00927504" w:rsidRDefault="00927504" w:rsidP="002F48B0">
      <w:pPr>
        <w:spacing w:after="0" w:line="240" w:lineRule="auto"/>
        <w:rPr>
          <w:rFonts w:ascii="Arial" w:eastAsia="Times New Roman" w:hAnsi="Arial" w:cs="Arial"/>
          <w:b/>
          <w:color w:val="000000"/>
          <w:sz w:val="24"/>
          <w:lang w:val="en-US" w:eastAsia="en-GB"/>
        </w:rPr>
      </w:pPr>
    </w:p>
    <w:p w14:paraId="35A87F58" w14:textId="77777777" w:rsidR="00927504" w:rsidRPr="00DC7CFF" w:rsidRDefault="00927504" w:rsidP="002F48B0">
      <w:pPr>
        <w:spacing w:after="0" w:line="240" w:lineRule="auto"/>
        <w:rPr>
          <w:rFonts w:ascii="Arial" w:eastAsia="Times New Roman" w:hAnsi="Arial" w:cs="Arial"/>
          <w:b/>
          <w:color w:val="000000"/>
          <w:sz w:val="24"/>
          <w:lang w:val="en-US" w:eastAsia="en-GB"/>
        </w:rPr>
      </w:pPr>
    </w:p>
    <w:p w14:paraId="30DEA33D" w14:textId="57ADFE7E" w:rsidR="002F7D81" w:rsidRPr="00DC7CFF" w:rsidRDefault="009F197C" w:rsidP="002F7D81">
      <w:pPr>
        <w:rPr>
          <w:rFonts w:ascii="Arial" w:hAnsi="Arial" w:cs="Arial"/>
          <w:b/>
          <w:i/>
          <w:szCs w:val="24"/>
        </w:rPr>
      </w:pPr>
      <w:r w:rsidRPr="00DC7CFF">
        <w:rPr>
          <w:rFonts w:ascii="Arial" w:hAnsi="Arial" w:cs="Arial"/>
          <w:b/>
          <w:i/>
          <w:szCs w:val="24"/>
        </w:rPr>
        <w:t>Prepared by Sara Blackmore</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927504">
        <w:rPr>
          <w:rFonts w:ascii="Arial" w:hAnsi="Arial" w:cs="Arial"/>
          <w:b/>
          <w:i/>
          <w:szCs w:val="24"/>
        </w:rPr>
        <w:t>April 2021.</w:t>
      </w:r>
      <w:bookmarkStart w:id="0" w:name="_GoBack"/>
      <w:bookmarkEnd w:id="0"/>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8"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2"/>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DE"/>
    <w:rsid w:val="00033A23"/>
    <w:rsid w:val="000A4AD9"/>
    <w:rsid w:val="000B1FDE"/>
    <w:rsid w:val="00141321"/>
    <w:rsid w:val="001F5DB3"/>
    <w:rsid w:val="001F7E7D"/>
    <w:rsid w:val="00207F86"/>
    <w:rsid w:val="002256B4"/>
    <w:rsid w:val="002D422A"/>
    <w:rsid w:val="002F48B0"/>
    <w:rsid w:val="002F7D81"/>
    <w:rsid w:val="00302E6A"/>
    <w:rsid w:val="003A6B77"/>
    <w:rsid w:val="00514A22"/>
    <w:rsid w:val="00521626"/>
    <w:rsid w:val="00535915"/>
    <w:rsid w:val="005B5BD1"/>
    <w:rsid w:val="00636508"/>
    <w:rsid w:val="006565DD"/>
    <w:rsid w:val="007351F9"/>
    <w:rsid w:val="00794217"/>
    <w:rsid w:val="007B1F10"/>
    <w:rsid w:val="007B7887"/>
    <w:rsid w:val="008667B2"/>
    <w:rsid w:val="00927504"/>
    <w:rsid w:val="009737C3"/>
    <w:rsid w:val="009B453C"/>
    <w:rsid w:val="009F197C"/>
    <w:rsid w:val="009F6704"/>
    <w:rsid w:val="00A0658A"/>
    <w:rsid w:val="00A07254"/>
    <w:rsid w:val="00A83869"/>
    <w:rsid w:val="00AA3601"/>
    <w:rsid w:val="00C00054"/>
    <w:rsid w:val="00C012FD"/>
    <w:rsid w:val="00C01AB7"/>
    <w:rsid w:val="00C03B3A"/>
    <w:rsid w:val="00D04789"/>
    <w:rsid w:val="00D71ED0"/>
    <w:rsid w:val="00D95AA4"/>
    <w:rsid w:val="00DC7CFF"/>
    <w:rsid w:val="00E456D6"/>
    <w:rsid w:val="00E935D0"/>
    <w:rsid w:val="00EB6E98"/>
    <w:rsid w:val="00ED57DB"/>
    <w:rsid w:val="00F15F83"/>
    <w:rsid w:val="00F20512"/>
    <w:rsid w:val="00F40A93"/>
    <w:rsid w:val="00F6788A"/>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2.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David Pedley</cp:lastModifiedBy>
  <cp:revision>2</cp:revision>
  <dcterms:created xsi:type="dcterms:W3CDTF">2021-04-06T10:32:00Z</dcterms:created>
  <dcterms:modified xsi:type="dcterms:W3CDTF">2021-04-06T10:32:00Z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