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265F57C2" w:rsidR="00521626" w:rsidRPr="00D95AA4" w:rsidRDefault="002B0CA0" w:rsidP="000B1FDE">
            <w:pPr>
              <w:rPr>
                <w:rFonts w:ascii="Arial" w:hAnsi="Arial" w:cs="Arial"/>
                <w:szCs w:val="24"/>
              </w:rPr>
            </w:pPr>
            <w:r>
              <w:rPr>
                <w:rFonts w:ascii="Arial" w:hAnsi="Arial" w:cs="Arial"/>
                <w:szCs w:val="24"/>
              </w:rPr>
              <w:t>November</w:t>
            </w:r>
            <w:r w:rsidR="00691496">
              <w:rPr>
                <w:rFonts w:ascii="Arial" w:hAnsi="Arial" w:cs="Arial"/>
                <w:szCs w:val="24"/>
              </w:rPr>
              <w:t xml:space="preserve"> 2024</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1F2D0334" w:rsidR="00521626" w:rsidRPr="00D95AA4" w:rsidRDefault="00484925" w:rsidP="000B1FDE">
            <w:pPr>
              <w:rPr>
                <w:rFonts w:ascii="Arial" w:hAnsi="Arial" w:cs="Arial"/>
                <w:szCs w:val="24"/>
              </w:rPr>
            </w:pPr>
            <w:r>
              <w:rPr>
                <w:rFonts w:ascii="Arial" w:hAnsi="Arial" w:cs="Arial"/>
                <w:szCs w:val="24"/>
              </w:rPr>
              <w:t>1</w:t>
            </w:r>
            <w:r w:rsidR="002B0CA0">
              <w:rPr>
                <w:rFonts w:ascii="Arial" w:hAnsi="Arial" w:cs="Arial"/>
                <w:szCs w:val="24"/>
              </w:rPr>
              <w:t>5</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41DFB488"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3E1DA1A5" w:rsidR="007B1F10" w:rsidRPr="00D95AA4" w:rsidRDefault="004706AE"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Default="00836D63" w:rsidP="00836D63">
      <w:pPr>
        <w:spacing w:after="0" w:line="240" w:lineRule="auto"/>
        <w:rPr>
          <w:rFonts w:ascii="Arial" w:eastAsia="Times New Roman" w:hAnsi="Arial" w:cs="Arial"/>
          <w:b/>
          <w:color w:val="000000"/>
          <w:sz w:val="24"/>
          <w:lang w:val="en-US" w:eastAsia="en-GB"/>
        </w:rPr>
      </w:pPr>
    </w:p>
    <w:p w14:paraId="50DFE456" w14:textId="3E4F2726" w:rsidR="007B61AA" w:rsidRPr="007B61AA" w:rsidRDefault="007B61AA" w:rsidP="007B61AA">
      <w:pPr>
        <w:pStyle w:val="ListParagraph"/>
        <w:numPr>
          <w:ilvl w:val="0"/>
          <w:numId w:val="11"/>
        </w:numPr>
        <w:rPr>
          <w:rFonts w:ascii="Arial" w:hAnsi="Arial" w:cs="Arial"/>
          <w:color w:val="000000"/>
          <w:lang w:eastAsia="en-GB"/>
        </w:rPr>
      </w:pPr>
      <w:r w:rsidRPr="007B61AA">
        <w:rPr>
          <w:rFonts w:ascii="Arial" w:hAnsi="Arial" w:cs="Arial"/>
          <w:b/>
          <w:bCs/>
          <w:color w:val="000000"/>
          <w:lang w:eastAsia="en-GB"/>
        </w:rPr>
        <w:t>Pharmacy:</w:t>
      </w:r>
      <w:r w:rsidRPr="007B61AA">
        <w:rPr>
          <w:rFonts w:ascii="Arial" w:hAnsi="Arial" w:cs="Arial"/>
          <w:color w:val="000000"/>
          <w:lang w:eastAsia="en-GB"/>
        </w:rPr>
        <w:t> </w:t>
      </w:r>
      <w:r w:rsidR="002B0CA0" w:rsidRPr="002B0CA0">
        <w:rPr>
          <w:rFonts w:ascii="Aptos" w:eastAsia="Times New Roman" w:hAnsi="Aptos" w:cs="Calibri"/>
          <w:color w:val="000000"/>
          <w:lang w:eastAsia="en-GB"/>
        </w:rPr>
        <w:t xml:space="preserve"> Boots Pharmacy</w:t>
      </w:r>
    </w:p>
    <w:p w14:paraId="02B6EC90" w14:textId="125252F4" w:rsidR="002B0CA0" w:rsidRPr="002B0CA0" w:rsidRDefault="007B61AA" w:rsidP="002B0CA0">
      <w:pPr>
        <w:pStyle w:val="ListParagraph"/>
        <w:numPr>
          <w:ilvl w:val="0"/>
          <w:numId w:val="11"/>
        </w:numPr>
        <w:rPr>
          <w:rFonts w:ascii="Aptos" w:eastAsia="Times New Roman" w:hAnsi="Aptos" w:cs="Calibri"/>
          <w:color w:val="000000"/>
          <w:lang w:eastAsia="en-GB"/>
        </w:rPr>
      </w:pPr>
      <w:r w:rsidRPr="007B61AA">
        <w:rPr>
          <w:rFonts w:ascii="Arial" w:hAnsi="Arial" w:cs="Arial"/>
          <w:b/>
          <w:bCs/>
          <w:color w:val="000000"/>
          <w:lang w:eastAsia="en-GB"/>
        </w:rPr>
        <w:t>Address:</w:t>
      </w:r>
      <w:r w:rsidRPr="007B61AA">
        <w:rPr>
          <w:rFonts w:ascii="Arial" w:hAnsi="Arial" w:cs="Arial"/>
          <w:color w:val="000000"/>
          <w:lang w:eastAsia="en-GB"/>
        </w:rPr>
        <w:t> </w:t>
      </w:r>
      <w:r w:rsidR="002B0CA0" w:rsidRPr="002B0CA0">
        <w:rPr>
          <w:rFonts w:ascii="Aptos" w:eastAsia="Times New Roman" w:hAnsi="Aptos" w:cs="Calibri"/>
          <w:color w:val="000000"/>
          <w:lang w:eastAsia="en-GB"/>
        </w:rPr>
        <w:t>The Village, 1a Emersons Way, Emersons Green, BS16 7AE.</w:t>
      </w:r>
    </w:p>
    <w:p w14:paraId="3E9E13C0" w14:textId="7B45280A" w:rsidR="002B0CA0" w:rsidRPr="002B0CA0" w:rsidRDefault="002B0CA0" w:rsidP="002B0CA0">
      <w:pPr>
        <w:pStyle w:val="ListParagraph"/>
        <w:spacing w:after="0" w:line="240" w:lineRule="auto"/>
        <w:rPr>
          <w:rFonts w:ascii="Aptos" w:eastAsia="Times New Roman" w:hAnsi="Aptos" w:cs="Calibri"/>
          <w:color w:val="000000"/>
          <w:lang w:eastAsia="en-GB"/>
        </w:rPr>
      </w:pPr>
    </w:p>
    <w:p w14:paraId="361465D1" w14:textId="77777777" w:rsidR="002B0CA0" w:rsidRDefault="002B0CA0" w:rsidP="002B0CA0">
      <w:pPr>
        <w:spacing w:after="0" w:line="240" w:lineRule="auto"/>
        <w:rPr>
          <w:rFonts w:ascii="Aptos" w:eastAsia="Times New Roman" w:hAnsi="Aptos" w:cs="Calibri"/>
          <w:color w:val="000000"/>
          <w:lang w:eastAsia="en-GB"/>
        </w:rPr>
      </w:pPr>
      <w:r w:rsidRPr="002B0CA0">
        <w:rPr>
          <w:rFonts w:ascii="Aptos" w:eastAsia="Times New Roman" w:hAnsi="Aptos" w:cs="Calibri"/>
          <w:color w:val="000000"/>
          <w:lang w:eastAsia="en-GB"/>
        </w:rPr>
        <w:t xml:space="preserve">The above-mentioned pharmacy will now be open </w:t>
      </w:r>
      <w:proofErr w:type="gramStart"/>
      <w:r w:rsidRPr="002B0CA0">
        <w:rPr>
          <w:rFonts w:ascii="Aptos" w:eastAsia="Times New Roman" w:hAnsi="Aptos" w:cs="Calibri"/>
          <w:color w:val="000000"/>
          <w:lang w:eastAsia="en-GB"/>
        </w:rPr>
        <w:t>later on</w:t>
      </w:r>
      <w:proofErr w:type="gramEnd"/>
      <w:r w:rsidRPr="002B0CA0">
        <w:rPr>
          <w:rFonts w:ascii="Aptos" w:eastAsia="Times New Roman" w:hAnsi="Aptos" w:cs="Calibri"/>
          <w:color w:val="000000"/>
          <w:lang w:eastAsia="en-GB"/>
        </w:rPr>
        <w:t xml:space="preserve"> Saturdays (close at 19:00 instead of 18:00). </w:t>
      </w:r>
    </w:p>
    <w:p w14:paraId="67F29F76" w14:textId="77777777" w:rsidR="002B0CA0" w:rsidRDefault="002B0CA0" w:rsidP="002B0CA0">
      <w:pPr>
        <w:spacing w:after="0" w:line="240" w:lineRule="auto"/>
        <w:rPr>
          <w:rFonts w:ascii="Aptos" w:eastAsia="Times New Roman" w:hAnsi="Aptos" w:cs="Calibri"/>
          <w:color w:val="000000"/>
          <w:lang w:eastAsia="en-GB"/>
        </w:rPr>
      </w:pPr>
    </w:p>
    <w:p w14:paraId="51687283" w14:textId="368FA1B7" w:rsidR="002B0CA0" w:rsidRPr="002B0CA0" w:rsidRDefault="002B0CA0" w:rsidP="002B0CA0">
      <w:pPr>
        <w:spacing w:after="0" w:line="240" w:lineRule="auto"/>
        <w:rPr>
          <w:rFonts w:ascii="Aptos" w:eastAsia="Times New Roman" w:hAnsi="Aptos" w:cs="Calibri"/>
          <w:color w:val="000000"/>
          <w:lang w:eastAsia="en-GB"/>
        </w:rPr>
      </w:pPr>
      <w:r w:rsidRPr="002B0CA0">
        <w:rPr>
          <w:rFonts w:ascii="Aptos" w:eastAsia="Times New Roman" w:hAnsi="Aptos" w:cs="Calibri"/>
          <w:color w:val="000000"/>
          <w:lang w:eastAsia="en-GB"/>
        </w:rPr>
        <w:t>Please note that you may show these hours already, however we are sharing this as the increase of opening hours was picked up during a recent audit and did not reflect our records. The new opening hours</w:t>
      </w:r>
      <w:r>
        <w:rPr>
          <w:rFonts w:ascii="Aptos" w:eastAsia="Times New Roman" w:hAnsi="Aptos" w:cs="Calibri"/>
          <w:color w:val="000000"/>
          <w:lang w:eastAsia="en-GB"/>
        </w:rPr>
        <w:t>,</w:t>
      </w:r>
      <w:r w:rsidRPr="002B0CA0">
        <w:rPr>
          <w:rFonts w:ascii="Aptos" w:eastAsia="Times New Roman" w:hAnsi="Aptos" w:cs="Calibri"/>
          <w:color w:val="000000"/>
          <w:lang w:eastAsia="en-GB"/>
        </w:rPr>
        <w:t xml:space="preserve"> effective from</w:t>
      </w:r>
      <w:r>
        <w:rPr>
          <w:rFonts w:ascii="Aptos" w:eastAsia="Times New Roman" w:hAnsi="Aptos" w:cs="Calibri"/>
          <w:color w:val="000000"/>
          <w:lang w:eastAsia="en-GB"/>
        </w:rPr>
        <w:t xml:space="preserve"> </w:t>
      </w:r>
      <w:r w:rsidRPr="002B0CA0">
        <w:rPr>
          <w:rFonts w:ascii="Aptos" w:eastAsia="Times New Roman" w:hAnsi="Aptos" w:cs="Calibri"/>
          <w:b/>
          <w:bCs/>
          <w:color w:val="000000"/>
          <w:lang w:eastAsia="en-GB"/>
        </w:rPr>
        <w:t>21 November 2024,</w:t>
      </w:r>
      <w:r w:rsidRPr="002B0CA0">
        <w:rPr>
          <w:rFonts w:ascii="Aptos" w:eastAsia="Times New Roman" w:hAnsi="Aptos" w:cs="Calibri"/>
          <w:color w:val="000000"/>
          <w:lang w:eastAsia="en-GB"/>
        </w:rPr>
        <w:t xml:space="preserve"> are as follows:</w:t>
      </w:r>
    </w:p>
    <w:p w14:paraId="2EFDDA31" w14:textId="16254F43" w:rsidR="002B0CA0" w:rsidRPr="002B0CA0" w:rsidRDefault="002B0CA0" w:rsidP="002B0CA0">
      <w:pPr>
        <w:pStyle w:val="ListParagraph"/>
        <w:spacing w:after="0" w:line="240" w:lineRule="auto"/>
        <w:rPr>
          <w:rFonts w:ascii="Aptos" w:eastAsia="Times New Roman" w:hAnsi="Aptos" w:cs="Calibri"/>
          <w:color w:val="000000"/>
          <w:lang w:eastAsia="en-GB"/>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2722"/>
        <w:gridCol w:w="1932"/>
        <w:gridCol w:w="2602"/>
      </w:tblGrid>
      <w:tr w:rsidR="002B0CA0" w:rsidRPr="002B0CA0" w14:paraId="45BEEFF3" w14:textId="77777777" w:rsidTr="002B0CA0">
        <w:tc>
          <w:tcPr>
            <w:tcW w:w="96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A85208"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b/>
                <w:bCs/>
                <w:color w:val="000000"/>
                <w:lang w:eastAsia="en-GB"/>
              </w:rPr>
              <w:t>CORE</w:t>
            </w:r>
          </w:p>
        </w:tc>
        <w:tc>
          <w:tcPr>
            <w:tcW w:w="269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5FDAA4" w14:textId="77777777" w:rsidR="002B0CA0" w:rsidRPr="002B0CA0" w:rsidRDefault="002B0CA0" w:rsidP="002B0CA0">
            <w:pPr>
              <w:spacing w:after="0" w:line="240" w:lineRule="auto"/>
              <w:rPr>
                <w:rFonts w:ascii="Calibri" w:eastAsia="Times New Roman" w:hAnsi="Calibri" w:cs="Calibri"/>
                <w:lang w:eastAsia="en-GB"/>
              </w:rPr>
            </w:pPr>
            <w:r w:rsidRPr="002B0CA0">
              <w:rPr>
                <w:rFonts w:ascii="Calibri" w:eastAsia="Times New Roman" w:hAnsi="Calibri" w:cs="Calibri"/>
                <w:lang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F53A855"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b/>
                <w:bCs/>
                <w:color w:val="000000"/>
                <w:lang w:eastAsia="en-GB"/>
              </w:rPr>
              <w:t>SUPPLEMENTARY</w:t>
            </w:r>
          </w:p>
        </w:tc>
        <w:tc>
          <w:tcPr>
            <w:tcW w:w="226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76DAE26" w14:textId="77777777" w:rsidR="002B0CA0" w:rsidRPr="002B0CA0" w:rsidRDefault="002B0CA0" w:rsidP="002B0CA0">
            <w:pPr>
              <w:spacing w:after="0" w:line="240" w:lineRule="auto"/>
              <w:rPr>
                <w:rFonts w:ascii="Calibri" w:eastAsia="Times New Roman" w:hAnsi="Calibri" w:cs="Calibri"/>
                <w:lang w:eastAsia="en-GB"/>
              </w:rPr>
            </w:pPr>
            <w:r w:rsidRPr="002B0CA0">
              <w:rPr>
                <w:rFonts w:ascii="Calibri" w:eastAsia="Times New Roman" w:hAnsi="Calibri" w:cs="Calibri"/>
                <w:lang w:eastAsia="en-GB"/>
              </w:rPr>
              <w:t> </w:t>
            </w:r>
          </w:p>
        </w:tc>
      </w:tr>
      <w:tr w:rsidR="002B0CA0" w:rsidRPr="002B0CA0" w14:paraId="55CEC275" w14:textId="77777777" w:rsidTr="002B0CA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0818C4"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MON:</w:t>
            </w:r>
          </w:p>
        </w:tc>
        <w:tc>
          <w:tcPr>
            <w:tcW w:w="2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AAE8B9"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09:00-13:00 &amp; 14:00-17:00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AEF305"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MON:</w:t>
            </w:r>
          </w:p>
        </w:tc>
        <w:tc>
          <w:tcPr>
            <w:tcW w:w="2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AE03A5"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13:00-14:00 &amp; 17:00-19:00</w:t>
            </w:r>
          </w:p>
        </w:tc>
      </w:tr>
      <w:tr w:rsidR="002B0CA0" w:rsidRPr="002B0CA0" w14:paraId="3B8BF07D" w14:textId="77777777" w:rsidTr="002B0CA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6E375"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TUE:</w:t>
            </w:r>
          </w:p>
        </w:tc>
        <w:tc>
          <w:tcPr>
            <w:tcW w:w="2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51015B"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09:00-13:00 &amp; 14:00-17:00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ADD1A8"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TUE:</w:t>
            </w:r>
          </w:p>
        </w:tc>
        <w:tc>
          <w:tcPr>
            <w:tcW w:w="2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50EC75"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13:00-14:00 &amp; 17:00-19:00</w:t>
            </w:r>
          </w:p>
        </w:tc>
      </w:tr>
      <w:tr w:rsidR="002B0CA0" w:rsidRPr="002B0CA0" w14:paraId="446358F6" w14:textId="77777777" w:rsidTr="002B0CA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95B6CB"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WED:</w:t>
            </w:r>
          </w:p>
        </w:tc>
        <w:tc>
          <w:tcPr>
            <w:tcW w:w="2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924145"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09:00-13:00 &amp; 14:00-17:00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DEBE66"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WED:</w:t>
            </w:r>
          </w:p>
        </w:tc>
        <w:tc>
          <w:tcPr>
            <w:tcW w:w="2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3B20BA"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13:00-14:00 &amp; 17:00-19:00</w:t>
            </w:r>
          </w:p>
        </w:tc>
      </w:tr>
      <w:tr w:rsidR="002B0CA0" w:rsidRPr="002B0CA0" w14:paraId="5EF745C5" w14:textId="77777777" w:rsidTr="002B0CA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8A398"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THUR:</w:t>
            </w:r>
          </w:p>
        </w:tc>
        <w:tc>
          <w:tcPr>
            <w:tcW w:w="2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C9FA"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09:00-13:00 &amp; 14:00-17:00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B9216F"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THUR:</w:t>
            </w:r>
          </w:p>
        </w:tc>
        <w:tc>
          <w:tcPr>
            <w:tcW w:w="2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48036"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13:00-14:00 &amp; 17:00-19:00</w:t>
            </w:r>
          </w:p>
        </w:tc>
      </w:tr>
      <w:tr w:rsidR="002B0CA0" w:rsidRPr="002B0CA0" w14:paraId="6AA1B2CC" w14:textId="77777777" w:rsidTr="002B0CA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3C9293"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FRI:</w:t>
            </w:r>
          </w:p>
        </w:tc>
        <w:tc>
          <w:tcPr>
            <w:tcW w:w="2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CFEADD"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09:00-13:00 &amp; 14:00-17:00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721BD9"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FRI:</w:t>
            </w:r>
          </w:p>
        </w:tc>
        <w:tc>
          <w:tcPr>
            <w:tcW w:w="2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A2F51A"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13:00-14:00 &amp; 17:00-19:00</w:t>
            </w:r>
          </w:p>
        </w:tc>
      </w:tr>
      <w:tr w:rsidR="002B0CA0" w:rsidRPr="002B0CA0" w14:paraId="68D2849D" w14:textId="77777777" w:rsidTr="002B0CA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5524F8"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lastRenderedPageBreak/>
              <w:t>SAT:</w:t>
            </w:r>
          </w:p>
        </w:tc>
        <w:tc>
          <w:tcPr>
            <w:tcW w:w="2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7832FB"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09:00-13:00 &amp; 14:00-15:00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48AECE"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SAT:</w:t>
            </w:r>
          </w:p>
        </w:tc>
        <w:tc>
          <w:tcPr>
            <w:tcW w:w="2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71D0F"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13:00-14:00 &amp; 15:00-19:00</w:t>
            </w:r>
          </w:p>
        </w:tc>
      </w:tr>
      <w:tr w:rsidR="002B0CA0" w:rsidRPr="002B0CA0" w14:paraId="1FED7674" w14:textId="77777777" w:rsidTr="002B0CA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3675C4"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SUN:</w:t>
            </w:r>
          </w:p>
        </w:tc>
        <w:tc>
          <w:tcPr>
            <w:tcW w:w="2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50CE47"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Closed</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0626D4"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SUN:</w:t>
            </w:r>
          </w:p>
        </w:tc>
        <w:tc>
          <w:tcPr>
            <w:tcW w:w="2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0C4CDD"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Closed</w:t>
            </w:r>
          </w:p>
        </w:tc>
      </w:tr>
    </w:tbl>
    <w:p w14:paraId="73E61482" w14:textId="77777777" w:rsidR="002B0CA0" w:rsidRPr="002B0CA0" w:rsidRDefault="002B0CA0" w:rsidP="002B0CA0">
      <w:pPr>
        <w:pStyle w:val="ListParagraph"/>
        <w:spacing w:after="0" w:line="240" w:lineRule="auto"/>
        <w:rPr>
          <w:rFonts w:ascii="Calibri" w:eastAsia="Times New Roman" w:hAnsi="Calibri" w:cs="Calibri"/>
          <w:color w:val="000000"/>
          <w:lang w:eastAsia="en-GB"/>
        </w:rPr>
      </w:pPr>
      <w:r w:rsidRPr="002B0CA0">
        <w:rPr>
          <w:rFonts w:ascii="Calibri" w:eastAsia="Times New Roman" w:hAnsi="Calibri" w:cs="Calibri"/>
          <w:color w:val="000000"/>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20"/>
        <w:gridCol w:w="1305"/>
      </w:tblGrid>
      <w:tr w:rsidR="002B0CA0" w:rsidRPr="002B0CA0" w14:paraId="1B18D693" w14:textId="77777777" w:rsidTr="002B0CA0">
        <w:tc>
          <w:tcPr>
            <w:tcW w:w="16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CADAD4B"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b/>
                <w:bCs/>
                <w:color w:val="000000"/>
                <w:lang w:eastAsia="en-GB"/>
              </w:rPr>
              <w:t>TOTAL HOURS</w:t>
            </w:r>
          </w:p>
        </w:tc>
        <w:tc>
          <w:tcPr>
            <w:tcW w:w="11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DE1002" w14:textId="77777777" w:rsidR="002B0CA0" w:rsidRPr="002B0CA0" w:rsidRDefault="002B0CA0" w:rsidP="002B0CA0">
            <w:pPr>
              <w:spacing w:after="0" w:line="240" w:lineRule="auto"/>
              <w:rPr>
                <w:rFonts w:ascii="Calibri" w:eastAsia="Times New Roman" w:hAnsi="Calibri" w:cs="Calibri"/>
                <w:lang w:eastAsia="en-GB"/>
              </w:rPr>
            </w:pPr>
            <w:r w:rsidRPr="002B0CA0">
              <w:rPr>
                <w:rFonts w:ascii="Calibri" w:eastAsia="Times New Roman" w:hAnsi="Calibri" w:cs="Calibri"/>
                <w:lang w:eastAsia="en-GB"/>
              </w:rPr>
              <w:t> </w:t>
            </w:r>
          </w:p>
        </w:tc>
      </w:tr>
      <w:tr w:rsidR="002B0CA0" w:rsidRPr="002B0CA0" w14:paraId="63848DD9" w14:textId="77777777" w:rsidTr="002B0CA0">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EC8192"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MON:</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39268"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09:00-19:00</w:t>
            </w:r>
          </w:p>
        </w:tc>
      </w:tr>
      <w:tr w:rsidR="002B0CA0" w:rsidRPr="002B0CA0" w14:paraId="73516A86" w14:textId="77777777" w:rsidTr="002B0CA0">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42B783"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TUE:</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871C31"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09:00-19:00</w:t>
            </w:r>
          </w:p>
        </w:tc>
      </w:tr>
      <w:tr w:rsidR="002B0CA0" w:rsidRPr="002B0CA0" w14:paraId="2BA75C71" w14:textId="77777777" w:rsidTr="002B0CA0">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09815"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WED:</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872BC8"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09:00-19:00</w:t>
            </w:r>
          </w:p>
        </w:tc>
      </w:tr>
      <w:tr w:rsidR="002B0CA0" w:rsidRPr="002B0CA0" w14:paraId="6206A21A" w14:textId="77777777" w:rsidTr="002B0CA0">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922B26"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THUR:</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8E3150"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09:00-19:00</w:t>
            </w:r>
          </w:p>
        </w:tc>
      </w:tr>
      <w:tr w:rsidR="002B0CA0" w:rsidRPr="002B0CA0" w14:paraId="0C986240" w14:textId="77777777" w:rsidTr="002B0CA0">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85A9B2"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FRI:</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CBDADF"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09:00-19:00</w:t>
            </w:r>
          </w:p>
        </w:tc>
      </w:tr>
      <w:tr w:rsidR="002B0CA0" w:rsidRPr="002B0CA0" w14:paraId="54B5B619" w14:textId="77777777" w:rsidTr="002B0CA0">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FDDE6E"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SAT:</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4B101B"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09:00-19:00</w:t>
            </w:r>
          </w:p>
        </w:tc>
      </w:tr>
      <w:tr w:rsidR="002B0CA0" w:rsidRPr="002B0CA0" w14:paraId="073F5910" w14:textId="77777777" w:rsidTr="002B0CA0">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17B233" w14:textId="77777777" w:rsidR="002B0CA0" w:rsidRPr="002B0CA0" w:rsidRDefault="002B0CA0" w:rsidP="002B0CA0">
            <w:pPr>
              <w:spacing w:after="0" w:line="240" w:lineRule="auto"/>
              <w:rPr>
                <w:rFonts w:ascii="Aptos" w:eastAsia="Times New Roman" w:hAnsi="Aptos" w:cs="Times New Roman"/>
                <w:color w:val="000000"/>
                <w:lang w:eastAsia="en-GB"/>
              </w:rPr>
            </w:pPr>
            <w:r w:rsidRPr="002B0CA0">
              <w:rPr>
                <w:rFonts w:ascii="Aptos" w:eastAsia="Times New Roman" w:hAnsi="Aptos" w:cs="Times New Roman"/>
                <w:color w:val="000000"/>
                <w:lang w:eastAsia="en-GB"/>
              </w:rPr>
              <w:t>SUN:</w:t>
            </w:r>
          </w:p>
        </w:tc>
        <w:tc>
          <w:tcPr>
            <w:tcW w:w="1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1C358D" w14:textId="77777777" w:rsidR="002B0CA0" w:rsidRPr="002B0CA0" w:rsidRDefault="002B0CA0" w:rsidP="002B0CA0">
            <w:pPr>
              <w:spacing w:after="0" w:line="240" w:lineRule="auto"/>
              <w:jc w:val="center"/>
              <w:rPr>
                <w:rFonts w:ascii="Aptos" w:eastAsia="Times New Roman" w:hAnsi="Aptos" w:cs="Times New Roman"/>
                <w:lang w:eastAsia="en-GB"/>
              </w:rPr>
            </w:pPr>
            <w:r w:rsidRPr="002B0CA0">
              <w:rPr>
                <w:rFonts w:ascii="Aptos" w:eastAsia="Times New Roman" w:hAnsi="Aptos" w:cs="Times New Roman"/>
                <w:lang w:eastAsia="en-GB"/>
              </w:rPr>
              <w:t>Closed</w:t>
            </w:r>
          </w:p>
        </w:tc>
      </w:tr>
    </w:tbl>
    <w:p w14:paraId="735982F6" w14:textId="3AB868ED" w:rsidR="008E6C4D" w:rsidRPr="00484925" w:rsidRDefault="00484925" w:rsidP="008E6C4D">
      <w:pPr>
        <w:rPr>
          <w:rFonts w:ascii="Calibri" w:hAnsi="Calibri" w:cs="Calibri"/>
          <w:color w:val="000000"/>
          <w:lang w:eastAsia="en-GB"/>
        </w:rPr>
      </w:pPr>
      <w:r>
        <w:rPr>
          <w:color w:val="000000"/>
          <w:lang w:eastAsia="en-GB"/>
        </w:rPr>
        <w:t>Please update your databases and distribute accordingly.</w:t>
      </w:r>
    </w:p>
    <w:p w14:paraId="30DEA33D" w14:textId="4D0F7DB6" w:rsidR="002F7D81" w:rsidRPr="00691496" w:rsidRDefault="009F197C" w:rsidP="002F7D81">
      <w:pPr>
        <w:rPr>
          <w:rFonts w:cstheme="minorHAnsi"/>
          <w:b/>
          <w:i/>
          <w:szCs w:val="24"/>
        </w:rPr>
      </w:pPr>
      <w:r w:rsidRPr="00691496">
        <w:rPr>
          <w:rFonts w:cstheme="minorHAnsi"/>
          <w:b/>
          <w:i/>
          <w:szCs w:val="24"/>
        </w:rPr>
        <w:t xml:space="preserve">Prepared by </w:t>
      </w:r>
      <w:r w:rsidR="00F77B72" w:rsidRPr="00691496">
        <w:rPr>
          <w:rFonts w:cstheme="minorHAnsi"/>
          <w:b/>
          <w:i/>
          <w:szCs w:val="24"/>
        </w:rPr>
        <w:t>Sarah Weld</w:t>
      </w:r>
      <w:r w:rsidR="00D95AA4" w:rsidRPr="00691496">
        <w:rPr>
          <w:rFonts w:cstheme="minorHAnsi"/>
          <w:b/>
          <w:i/>
          <w:szCs w:val="24"/>
        </w:rPr>
        <w:t xml:space="preserve">, </w:t>
      </w:r>
      <w:r w:rsidRPr="00691496">
        <w:rPr>
          <w:rFonts w:cstheme="minorHAnsi"/>
          <w:b/>
          <w:i/>
          <w:szCs w:val="24"/>
        </w:rPr>
        <w:t>Director of Public Health, South Gloucestershire Council</w:t>
      </w:r>
      <w:r w:rsidR="00D95AA4" w:rsidRPr="00691496">
        <w:rPr>
          <w:rFonts w:cstheme="minorHAnsi"/>
          <w:b/>
          <w:i/>
          <w:szCs w:val="24"/>
        </w:rPr>
        <w:t xml:space="preserve">. </w:t>
      </w:r>
      <w:r w:rsidR="002B0CA0">
        <w:rPr>
          <w:rFonts w:cstheme="minorHAnsi"/>
          <w:b/>
          <w:i/>
          <w:szCs w:val="24"/>
        </w:rPr>
        <w:t>November</w:t>
      </w:r>
      <w:r w:rsidR="00691496" w:rsidRPr="00691496">
        <w:rPr>
          <w:rFonts w:cstheme="minorHAnsi"/>
          <w:b/>
          <w:i/>
          <w:szCs w:val="24"/>
        </w:rPr>
        <w:t xml:space="preserve"> 2024. </w:t>
      </w:r>
      <w:r w:rsidR="002610D9" w:rsidRPr="00691496">
        <w:rPr>
          <w:rFonts w:cstheme="minorHAnsi"/>
          <w:b/>
          <w:i/>
          <w:szCs w:val="24"/>
        </w:rPr>
        <w:t xml:space="preserve"> </w:t>
      </w:r>
    </w:p>
    <w:sectPr w:rsidR="002F7D81" w:rsidRPr="00691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B25472C"/>
    <w:multiLevelType w:val="hybridMultilevel"/>
    <w:tmpl w:val="5974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0"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8"/>
  </w:num>
  <w:num w:numId="2" w16cid:durableId="1967394538">
    <w:abstractNumId w:val="2"/>
  </w:num>
  <w:num w:numId="3" w16cid:durableId="1006982050">
    <w:abstractNumId w:val="0"/>
  </w:num>
  <w:num w:numId="4" w16cid:durableId="1967538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9"/>
  </w:num>
  <w:num w:numId="8" w16cid:durableId="1447777912">
    <w:abstractNumId w:val="5"/>
  </w:num>
  <w:num w:numId="9" w16cid:durableId="1658878310">
    <w:abstractNumId w:val="4"/>
  </w:num>
  <w:num w:numId="10" w16cid:durableId="1766458701">
    <w:abstractNumId w:val="7"/>
  </w:num>
  <w:num w:numId="11" w16cid:durableId="929895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17C4"/>
    <w:rsid w:val="00033A23"/>
    <w:rsid w:val="000A4AD9"/>
    <w:rsid w:val="000B1FDE"/>
    <w:rsid w:val="000B6AE0"/>
    <w:rsid w:val="00141321"/>
    <w:rsid w:val="001F5DB3"/>
    <w:rsid w:val="001F7E7D"/>
    <w:rsid w:val="00207F86"/>
    <w:rsid w:val="00224AD7"/>
    <w:rsid w:val="002256B4"/>
    <w:rsid w:val="002610D9"/>
    <w:rsid w:val="002B0CA0"/>
    <w:rsid w:val="002B2D3B"/>
    <w:rsid w:val="002D422A"/>
    <w:rsid w:val="002F48B0"/>
    <w:rsid w:val="002F7D81"/>
    <w:rsid w:val="00302E6A"/>
    <w:rsid w:val="003A6B77"/>
    <w:rsid w:val="003E3A97"/>
    <w:rsid w:val="003E66A6"/>
    <w:rsid w:val="004232E5"/>
    <w:rsid w:val="004706AE"/>
    <w:rsid w:val="00484925"/>
    <w:rsid w:val="004A4C7D"/>
    <w:rsid w:val="004E1C7F"/>
    <w:rsid w:val="004F6E80"/>
    <w:rsid w:val="00514A22"/>
    <w:rsid w:val="00521626"/>
    <w:rsid w:val="00523D8E"/>
    <w:rsid w:val="00535915"/>
    <w:rsid w:val="005B5BD1"/>
    <w:rsid w:val="00616896"/>
    <w:rsid w:val="00636508"/>
    <w:rsid w:val="006565DD"/>
    <w:rsid w:val="00660F03"/>
    <w:rsid w:val="00671784"/>
    <w:rsid w:val="00691496"/>
    <w:rsid w:val="007351F9"/>
    <w:rsid w:val="00745134"/>
    <w:rsid w:val="00794217"/>
    <w:rsid w:val="007B1F10"/>
    <w:rsid w:val="007B61AA"/>
    <w:rsid w:val="007B7887"/>
    <w:rsid w:val="007E1106"/>
    <w:rsid w:val="00836D63"/>
    <w:rsid w:val="008667B2"/>
    <w:rsid w:val="008E6C4D"/>
    <w:rsid w:val="00927504"/>
    <w:rsid w:val="009419FD"/>
    <w:rsid w:val="009737C3"/>
    <w:rsid w:val="009B453C"/>
    <w:rsid w:val="009C33B3"/>
    <w:rsid w:val="009F197C"/>
    <w:rsid w:val="009F6704"/>
    <w:rsid w:val="00A0658A"/>
    <w:rsid w:val="00A07254"/>
    <w:rsid w:val="00A217EE"/>
    <w:rsid w:val="00A83869"/>
    <w:rsid w:val="00AA03D0"/>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34057"/>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56090913">
      <w:bodyDiv w:val="1"/>
      <w:marLeft w:val="0"/>
      <w:marRight w:val="0"/>
      <w:marTop w:val="0"/>
      <w:marBottom w:val="0"/>
      <w:divBdr>
        <w:top w:val="none" w:sz="0" w:space="0" w:color="auto"/>
        <w:left w:val="none" w:sz="0" w:space="0" w:color="auto"/>
        <w:bottom w:val="none" w:sz="0" w:space="0" w:color="auto"/>
        <w:right w:val="none" w:sz="0" w:space="0" w:color="auto"/>
      </w:divBdr>
      <w:divsChild>
        <w:div w:id="2046565208">
          <w:marLeft w:val="0"/>
          <w:marRight w:val="0"/>
          <w:marTop w:val="0"/>
          <w:marBottom w:val="0"/>
          <w:divBdr>
            <w:top w:val="none" w:sz="0" w:space="0" w:color="auto"/>
            <w:left w:val="none" w:sz="0" w:space="0" w:color="auto"/>
            <w:bottom w:val="none" w:sz="0" w:space="0" w:color="auto"/>
            <w:right w:val="none" w:sz="0" w:space="0" w:color="auto"/>
          </w:divBdr>
        </w:div>
        <w:div w:id="1807503877">
          <w:marLeft w:val="0"/>
          <w:marRight w:val="0"/>
          <w:marTop w:val="0"/>
          <w:marBottom w:val="0"/>
          <w:divBdr>
            <w:top w:val="none" w:sz="0" w:space="0" w:color="auto"/>
            <w:left w:val="none" w:sz="0" w:space="0" w:color="auto"/>
            <w:bottom w:val="none" w:sz="0" w:space="0" w:color="auto"/>
            <w:right w:val="none" w:sz="0" w:space="0" w:color="auto"/>
          </w:divBdr>
        </w:div>
      </w:divsChild>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58135937">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092043856">
      <w:bodyDiv w:val="1"/>
      <w:marLeft w:val="0"/>
      <w:marRight w:val="0"/>
      <w:marTop w:val="0"/>
      <w:marBottom w:val="0"/>
      <w:divBdr>
        <w:top w:val="none" w:sz="0" w:space="0" w:color="auto"/>
        <w:left w:val="none" w:sz="0" w:space="0" w:color="auto"/>
        <w:bottom w:val="none" w:sz="0" w:space="0" w:color="auto"/>
        <w:right w:val="none" w:sz="0" w:space="0" w:color="auto"/>
      </w:divBdr>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14958831">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 w:id="2131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2024-11-21T16:29:00Z</dcterms:created>
  <dcterms:modified xsi:type="dcterms:W3CDTF">2024-11-21T16:29:00Z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